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0"/>
      </w:pPr>
    </w:p>
    <w:p>
      <w:pPr>
        <w:pStyle w:val="10"/>
      </w:pPr>
    </w:p>
    <w:p>
      <w:pPr>
        <w:pStyle w:val="10"/>
      </w:pPr>
    </w:p>
    <w:p>
      <w:pPr>
        <w:pStyle w:val="10"/>
        <w:ind w:firstLine="1440"/>
        <w:jc w:val="center"/>
        <w:rPr>
          <w:sz w:val="72"/>
        </w:rPr>
      </w:pPr>
    </w:p>
    <w:p/>
    <w:p/>
    <w:p>
      <w:pPr>
        <w:jc w:val="center"/>
        <w:rPr>
          <w:rFonts w:ascii="楷体" w:hAnsi="楷体" w:eastAsia="楷体"/>
          <w:b/>
          <w:sz w:val="72"/>
          <w:szCs w:val="44"/>
        </w:rPr>
      </w:pPr>
      <w:r>
        <w:rPr>
          <w:rFonts w:hint="eastAsia" w:ascii="楷体" w:hAnsi="楷体" w:eastAsia="楷体"/>
          <w:b/>
          <w:sz w:val="72"/>
          <w:szCs w:val="44"/>
        </w:rPr>
        <w:t>国富期货有限公司</w:t>
      </w:r>
    </w:p>
    <w:p>
      <w:pPr>
        <w:jc w:val="center"/>
        <w:rPr>
          <w:rFonts w:ascii="楷体" w:hAnsi="楷体" w:eastAsia="楷体"/>
          <w:b/>
          <w:sz w:val="72"/>
          <w:szCs w:val="44"/>
        </w:rPr>
      </w:pPr>
      <w:r>
        <w:rPr>
          <w:rFonts w:hint="eastAsia" w:ascii="楷体" w:hAnsi="楷体" w:eastAsia="楷体"/>
          <w:b/>
          <w:sz w:val="72"/>
          <w:szCs w:val="44"/>
        </w:rPr>
        <w:t>2020年社会责任报告</w:t>
      </w:r>
    </w:p>
    <w:p/>
    <w:p/>
    <w:p/>
    <w:p/>
    <w:p/>
    <w:p/>
    <w:p/>
    <w:p/>
    <w:p/>
    <w:p/>
    <w:p/>
    <w:p/>
    <w:p/>
    <w:p/>
    <w:p/>
    <w:p/>
    <w:p/>
    <w:p/>
    <w:p>
      <w:pPr>
        <w:jc w:val="center"/>
        <w:rPr>
          <w:rFonts w:ascii="楷体" w:hAnsi="楷体" w:eastAsia="楷体"/>
          <w:sz w:val="40"/>
        </w:rPr>
      </w:pPr>
      <w:r>
        <w:rPr>
          <w:rFonts w:hint="eastAsia" w:ascii="楷体" w:hAnsi="楷体" w:eastAsia="楷体"/>
          <w:sz w:val="40"/>
        </w:rPr>
        <w:t>2021年4月</w:t>
      </w:r>
    </w:p>
    <w:p/>
    <w:p/>
    <w:p/>
    <w:p/>
    <w:p/>
    <w:p>
      <w:pPr>
        <w:jc w:val="center"/>
        <w:rPr>
          <w:rFonts w:ascii="楷体" w:hAnsi="楷体" w:eastAsia="楷体"/>
          <w:b/>
          <w:sz w:val="40"/>
        </w:rPr>
        <w:sectPr>
          <w:headerReference r:id="rId3" w:type="default"/>
          <w:footerReference r:id="rId5" w:type="default"/>
          <w:headerReference r:id="rId4" w:type="even"/>
          <w:pgSz w:w="11906" w:h="16838"/>
          <w:pgMar w:top="1440" w:right="1800" w:bottom="1440" w:left="1800" w:header="851" w:footer="992" w:gutter="0"/>
          <w:cols w:space="425" w:num="1"/>
          <w:titlePg/>
          <w:docGrid w:type="lines" w:linePitch="312" w:charSpace="0"/>
        </w:sectPr>
      </w:pPr>
    </w:p>
    <w:p>
      <w:pPr>
        <w:jc w:val="center"/>
        <w:rPr>
          <w:rFonts w:ascii="楷体" w:hAnsi="楷体" w:eastAsia="楷体"/>
          <w:b/>
          <w:sz w:val="40"/>
        </w:rPr>
      </w:pPr>
      <w:r>
        <w:rPr>
          <w:rFonts w:hint="eastAsia" w:ascii="楷体" w:hAnsi="楷体" w:eastAsia="楷体"/>
          <w:b/>
          <w:sz w:val="40"/>
        </w:rPr>
        <w:t>目 录</w:t>
      </w:r>
    </w:p>
    <w:sdt>
      <w:sdtPr>
        <w:rPr>
          <w:rFonts w:ascii="宋体" w:hAnsi="宋体" w:eastAsia="宋体" w:cs="Times New Roman"/>
          <w:kern w:val="0"/>
          <w:szCs w:val="20"/>
        </w:rPr>
        <w:id w:val="-905989953"/>
        <w:docPartObj>
          <w:docPartGallery w:val="Table of Contents"/>
          <w:docPartUnique/>
        </w:docPartObj>
      </w:sdtPr>
      <w:sdtEndPr>
        <w:rPr>
          <w:rFonts w:hint="eastAsia" w:ascii="楷体" w:hAnsi="楷体" w:eastAsia="楷体" w:cs="楷体"/>
          <w:b/>
          <w:bCs/>
          <w:kern w:val="0"/>
          <w:sz w:val="24"/>
          <w:szCs w:val="24"/>
        </w:rPr>
      </w:sdtEndPr>
      <w:sdtContent>
        <w:p>
          <w:pPr>
            <w:jc w:val="center"/>
          </w:pP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"_Toc8063" </w:instrText>
          </w:r>
          <w:r>
            <w:fldChar w:fldCharType="separate"/>
          </w:r>
          <w:sdt>
            <w:sdtPr>
              <w:rPr>
                <w:rFonts w:hint="eastAsia" w:ascii="楷体" w:hAnsi="楷体" w:eastAsia="楷体" w:cs="楷体"/>
                <w:b/>
                <w:bCs/>
                <w:kern w:val="2"/>
                <w:sz w:val="24"/>
                <w:szCs w:val="24"/>
              </w:rPr>
              <w:id w:val="147454611"/>
              <w:placeholder>
                <w:docPart w:val="{03f49312-368e-40af-b992-bc1f3aed8029}"/>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摘   要</w:t>
              </w:r>
            </w:sdtContent>
          </w:sdt>
          <w:r>
            <w:rPr>
              <w:rFonts w:hint="eastAsia" w:ascii="楷体" w:hAnsi="楷体" w:eastAsia="楷体" w:cs="楷体"/>
              <w:b/>
              <w:bCs/>
              <w:sz w:val="24"/>
              <w:szCs w:val="24"/>
            </w:rPr>
            <w:tab/>
          </w:r>
          <w:r>
            <w:rPr>
              <w:rFonts w:hint="eastAsia" w:ascii="楷体" w:hAnsi="楷体" w:eastAsia="楷体" w:cs="楷体"/>
              <w:b/>
              <w:bCs/>
              <w:sz w:val="24"/>
              <w:szCs w:val="24"/>
            </w:rPr>
            <w:t>1</w:t>
          </w:r>
          <w:r>
            <w:rPr>
              <w:rFonts w:hint="eastAsia" w:ascii="楷体" w:hAnsi="楷体" w:eastAsia="楷体" w:cs="楷体"/>
              <w:b/>
              <w:bCs/>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"_Toc14293" </w:instrText>
          </w:r>
          <w:r>
            <w:fldChar w:fldCharType="separate"/>
          </w:r>
          <w:sdt>
            <w:sdtPr>
              <w:rPr>
                <w:rFonts w:hint="eastAsia" w:ascii="楷体" w:hAnsi="楷体" w:eastAsia="楷体" w:cs="楷体"/>
                <w:b/>
                <w:bCs/>
                <w:kern w:val="2"/>
                <w:sz w:val="24"/>
                <w:szCs w:val="24"/>
              </w:rPr>
              <w:id w:val="-257600911"/>
              <w:placeholder>
                <w:docPart w:val="{cb62f222-24c1-4981-bfc8-0eed63103853}"/>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一、公司愿景与社会责任定位</w:t>
              </w:r>
            </w:sdtContent>
          </w:sdt>
          <w:r>
            <w:rPr>
              <w:rFonts w:hint="eastAsia" w:ascii="楷体" w:hAnsi="楷体" w:eastAsia="楷体" w:cs="楷体"/>
              <w:b/>
              <w:bCs/>
              <w:sz w:val="24"/>
              <w:szCs w:val="24"/>
            </w:rPr>
            <w:tab/>
          </w:r>
          <w:r>
            <w:rPr>
              <w:rFonts w:hint="eastAsia" w:ascii="楷体" w:hAnsi="楷体" w:eastAsia="楷体" w:cs="楷体"/>
              <w:b/>
              <w:bCs/>
              <w:sz w:val="24"/>
              <w:szCs w:val="24"/>
            </w:rPr>
            <w:t>1</w:t>
          </w:r>
          <w:r>
            <w:rPr>
              <w:rFonts w:hint="eastAsia" w:ascii="楷体" w:hAnsi="楷体" w:eastAsia="楷体" w:cs="楷体"/>
              <w:b/>
              <w:bCs/>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"_Toc15738" </w:instrText>
          </w:r>
          <w:r>
            <w:fldChar w:fldCharType="separate"/>
          </w:r>
          <w:sdt>
            <w:sdtPr>
              <w:rPr>
                <w:rFonts w:hint="eastAsia" w:ascii="楷体" w:hAnsi="楷体" w:eastAsia="楷体" w:cs="楷体"/>
                <w:kern w:val="2"/>
                <w:sz w:val="24"/>
                <w:szCs w:val="24"/>
              </w:rPr>
              <w:id w:val="290330917"/>
              <w:placeholder>
                <w:docPart w:val="{fc61e458-36d1-4ff8-b58f-6289391ee35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1．公司愿景和发展战略</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"_Toc25376" </w:instrText>
          </w:r>
          <w:r>
            <w:fldChar w:fldCharType="separate"/>
          </w:r>
          <w:sdt>
            <w:sdtPr>
              <w:rPr>
                <w:rFonts w:hint="eastAsia" w:ascii="楷体" w:hAnsi="楷体" w:eastAsia="楷体" w:cs="楷体"/>
                <w:kern w:val="2"/>
                <w:sz w:val="24"/>
                <w:szCs w:val="24"/>
              </w:rPr>
              <w:id w:val="-314647112"/>
              <w:placeholder>
                <w:docPart w:val="{70dfddcf-217b-4595-be32-6c1f965c34f2}"/>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2．公司使命和价值观陈述</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"_Toc19167" </w:instrText>
          </w:r>
          <w:r>
            <w:fldChar w:fldCharType="separate"/>
          </w:r>
          <w:sdt>
            <w:sdtPr>
              <w:rPr>
                <w:rFonts w:hint="eastAsia" w:ascii="楷体" w:hAnsi="楷体" w:eastAsia="楷体" w:cs="楷体"/>
                <w:kern w:val="2"/>
                <w:sz w:val="24"/>
                <w:szCs w:val="24"/>
              </w:rPr>
              <w:id w:val="882377359"/>
              <w:placeholder>
                <w:docPart w:val="{e9dc193f-e9f0-4afe-9a87-d5bbc0b32328}"/>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3. 公司对社会责任的认识与定位</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"_Toc21563" </w:instrText>
          </w:r>
          <w:r>
            <w:fldChar w:fldCharType="separate"/>
          </w:r>
          <w:sdt>
            <w:sdtPr>
              <w:rPr>
                <w:rFonts w:hint="eastAsia" w:ascii="楷体" w:hAnsi="楷体" w:eastAsia="楷体" w:cs="楷体"/>
                <w:kern w:val="2"/>
                <w:sz w:val="24"/>
                <w:szCs w:val="24"/>
              </w:rPr>
              <w:id w:val="1676064416"/>
              <w:placeholder>
                <w:docPart w:val="{6ce0909a-43a2-4b12-9f84-6311259f0452}"/>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4. 公司董事长的信</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1</w:t>
          </w:r>
          <w:r>
            <w:rPr>
              <w:rFonts w:hint="eastAsia" w:ascii="楷体" w:hAnsi="楷体" w:eastAsia="楷体" w:cs="楷体"/>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"_Toc22097" </w:instrText>
          </w:r>
          <w:r>
            <w:fldChar w:fldCharType="separate"/>
          </w:r>
          <w:sdt>
            <w:sdtPr>
              <w:rPr>
                <w:rFonts w:hint="eastAsia" w:ascii="楷体" w:hAnsi="楷体" w:eastAsia="楷体" w:cs="楷体"/>
                <w:b/>
                <w:bCs/>
                <w:kern w:val="2"/>
                <w:sz w:val="24"/>
                <w:szCs w:val="24"/>
              </w:rPr>
              <w:id w:val="1860927709"/>
              <w:placeholder>
                <w:docPart w:val="{cd43e697-0621-4f44-9fd0-46df358faee8}"/>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二、公司概况</w:t>
              </w:r>
            </w:sdtContent>
          </w:sdt>
          <w:r>
            <w:rPr>
              <w:rFonts w:hint="eastAsia" w:ascii="楷体" w:hAnsi="楷体" w:eastAsia="楷体" w:cs="楷体"/>
              <w:b/>
              <w:bCs/>
              <w:sz w:val="24"/>
              <w:szCs w:val="24"/>
            </w:rPr>
            <w:tab/>
          </w:r>
          <w:r>
            <w:rPr>
              <w:rFonts w:hint="eastAsia" w:ascii="楷体" w:hAnsi="楷体" w:eastAsia="楷体" w:cs="楷体"/>
              <w:b/>
              <w:bCs/>
              <w:sz w:val="24"/>
              <w:szCs w:val="24"/>
            </w:rPr>
            <w:t>2</w:t>
          </w:r>
          <w:r>
            <w:rPr>
              <w:rFonts w:hint="eastAsia" w:ascii="楷体" w:hAnsi="楷体" w:eastAsia="楷体" w:cs="楷体"/>
              <w:b/>
              <w:bCs/>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"_Toc5568" </w:instrText>
          </w:r>
          <w:r>
            <w:fldChar w:fldCharType="separate"/>
          </w:r>
          <w:sdt>
            <w:sdtPr>
              <w:rPr>
                <w:rFonts w:hint="eastAsia" w:ascii="楷体" w:hAnsi="楷体" w:eastAsia="楷体" w:cs="楷体"/>
                <w:kern w:val="2"/>
                <w:sz w:val="24"/>
                <w:szCs w:val="24"/>
              </w:rPr>
              <w:id w:val="184257914"/>
              <w:placeholder>
                <w:docPart w:val="{0cd62081-782f-4f9e-837d-9a3b4388b35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1. 公司概况</w:t>
              </w:r>
            </w:sdtContent>
          </w:sdt>
          <w:r>
            <w:rPr>
              <w:rFonts w:hint="eastAsia" w:ascii="楷体" w:hAnsi="楷体" w:eastAsia="楷体" w:cs="楷体"/>
              <w:sz w:val="24"/>
              <w:szCs w:val="24"/>
            </w:rPr>
            <w:tab/>
          </w:r>
          <w:r>
            <w:rPr>
              <w:rFonts w:hint="eastAsia" w:ascii="楷体" w:hAnsi="楷体" w:eastAsia="楷体" w:cs="楷体"/>
              <w:sz w:val="24"/>
              <w:szCs w:val="24"/>
            </w:rPr>
            <w:t>2</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"_Toc26064" </w:instrText>
          </w:r>
          <w:r>
            <w:fldChar w:fldCharType="separate"/>
          </w:r>
          <w:sdt>
            <w:sdtPr>
              <w:rPr>
                <w:rFonts w:hint="eastAsia" w:ascii="楷体" w:hAnsi="楷体" w:eastAsia="楷体" w:cs="楷体"/>
                <w:kern w:val="2"/>
                <w:sz w:val="24"/>
                <w:szCs w:val="24"/>
              </w:rPr>
              <w:id w:val="-492566573"/>
              <w:placeholder>
                <w:docPart w:val="{76b8885c-d6c1-4d4b-8b28-c88734948107}"/>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2. 公司大事记</w:t>
              </w:r>
            </w:sdtContent>
          </w:sdt>
          <w:r>
            <w:rPr>
              <w:rFonts w:hint="eastAsia" w:ascii="楷体" w:hAnsi="楷体" w:eastAsia="楷体" w:cs="楷体"/>
              <w:sz w:val="24"/>
              <w:szCs w:val="24"/>
            </w:rPr>
            <w:tab/>
          </w:r>
          <w:r>
            <w:rPr>
              <w:rFonts w:hint="eastAsia" w:ascii="楷体" w:hAnsi="楷体" w:eastAsia="楷体" w:cs="楷体"/>
              <w:sz w:val="24"/>
              <w:szCs w:val="24"/>
            </w:rPr>
            <w:t>4</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"_Toc27705" </w:instrText>
          </w:r>
          <w:r>
            <w:fldChar w:fldCharType="separate"/>
          </w:r>
          <w:sdt>
            <w:sdtPr>
              <w:rPr>
                <w:rFonts w:hint="eastAsia" w:ascii="楷体" w:hAnsi="楷体" w:eastAsia="楷体" w:cs="楷体"/>
                <w:kern w:val="2"/>
                <w:sz w:val="24"/>
                <w:szCs w:val="24"/>
              </w:rPr>
              <w:id w:val="1727100302"/>
              <w:placeholder>
                <w:docPart w:val="{04076c2c-87a0-4ef9-855e-52c3047da250}"/>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3．公司利益相关者关系</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4</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"_Toc20513" </w:instrText>
          </w:r>
          <w:r>
            <w:fldChar w:fldCharType="separate"/>
          </w:r>
          <w:sdt>
            <w:sdtPr>
              <w:rPr>
                <w:rFonts w:hint="eastAsia" w:ascii="楷体" w:hAnsi="楷体" w:eastAsia="楷体" w:cs="楷体"/>
                <w:kern w:val="2"/>
                <w:sz w:val="24"/>
                <w:szCs w:val="24"/>
              </w:rPr>
              <w:id w:val="299047782"/>
              <w:placeholder>
                <w:docPart w:val="{a81b947c-24c9-42e5-990a-dc30f060fce9}"/>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4．本报告内容的范围和概况</w:t>
              </w:r>
            </w:sdtContent>
          </w:sdt>
          <w:r>
            <w:rPr>
              <w:rFonts w:hint="eastAsia" w:ascii="楷体" w:hAnsi="楷体" w:eastAsia="楷体" w:cs="楷体"/>
              <w:sz w:val="24"/>
              <w:szCs w:val="24"/>
            </w:rPr>
            <w:tab/>
          </w:r>
          <w:r>
            <w:rPr>
              <w:rFonts w:hint="eastAsia" w:ascii="楷体" w:hAnsi="楷体" w:eastAsia="楷体" w:cs="楷体"/>
              <w:sz w:val="24"/>
              <w:szCs w:val="24"/>
            </w:rPr>
            <w:t>5</w:t>
          </w:r>
          <w:r>
            <w:rPr>
              <w:rFonts w:hint="eastAsia" w:ascii="楷体" w:hAnsi="楷体" w:eastAsia="楷体" w:cs="楷体"/>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"_Toc28209" </w:instrText>
          </w:r>
          <w:r>
            <w:fldChar w:fldCharType="separate"/>
          </w:r>
          <w:sdt>
            <w:sdtPr>
              <w:rPr>
                <w:rFonts w:hint="eastAsia" w:ascii="楷体" w:hAnsi="楷体" w:eastAsia="楷体" w:cs="楷体"/>
                <w:b/>
                <w:bCs/>
                <w:kern w:val="2"/>
                <w:sz w:val="24"/>
                <w:szCs w:val="24"/>
              </w:rPr>
              <w:id w:val="1903868543"/>
              <w:placeholder>
                <w:docPart w:val="{bcddb746-944f-457e-8093-f87c804a4f73}"/>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三、公司治理结构与管理体制</w:t>
              </w:r>
            </w:sdtContent>
          </w:sdt>
          <w:r>
            <w:rPr>
              <w:rFonts w:hint="eastAsia" w:ascii="楷体" w:hAnsi="楷体" w:eastAsia="楷体" w:cs="楷体"/>
              <w:b/>
              <w:bCs/>
              <w:sz w:val="24"/>
              <w:szCs w:val="24"/>
            </w:rPr>
            <w:tab/>
          </w:r>
          <w:r>
            <w:rPr>
              <w:rFonts w:hint="eastAsia" w:ascii="楷体" w:hAnsi="楷体" w:eastAsia="楷体" w:cs="楷体"/>
              <w:b/>
              <w:bCs/>
              <w:sz w:val="24"/>
              <w:szCs w:val="24"/>
            </w:rPr>
            <w:t>5</w:t>
          </w:r>
          <w:r>
            <w:rPr>
              <w:rFonts w:hint="eastAsia" w:ascii="楷体" w:hAnsi="楷体" w:eastAsia="楷体" w:cs="楷体"/>
              <w:b/>
              <w:bCs/>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"_Toc26901" </w:instrText>
          </w:r>
          <w:r>
            <w:fldChar w:fldCharType="separate"/>
          </w:r>
          <w:sdt>
            <w:sdtPr>
              <w:rPr>
                <w:rFonts w:hint="eastAsia" w:ascii="楷体" w:hAnsi="楷体" w:eastAsia="楷体" w:cs="楷体"/>
                <w:kern w:val="2"/>
                <w:sz w:val="24"/>
                <w:szCs w:val="24"/>
              </w:rPr>
              <w:id w:val="265812462"/>
              <w:placeholder>
                <w:docPart w:val="{837f92e8-66e2-4c55-a87e-e2747c86b3b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1. 股东权责</w:t>
              </w:r>
            </w:sdtContent>
          </w:sdt>
          <w:r>
            <w:rPr>
              <w:rFonts w:hint="eastAsia" w:ascii="楷体" w:hAnsi="楷体" w:eastAsia="楷体" w:cs="楷体"/>
              <w:sz w:val="24"/>
              <w:szCs w:val="24"/>
            </w:rPr>
            <w:tab/>
          </w:r>
          <w:r>
            <w:rPr>
              <w:rFonts w:hint="eastAsia" w:ascii="楷体" w:hAnsi="楷体" w:eastAsia="楷体" w:cs="楷体"/>
              <w:sz w:val="24"/>
              <w:szCs w:val="24"/>
            </w:rPr>
            <w:t>5</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"_Toc8673" </w:instrText>
          </w:r>
          <w:r>
            <w:fldChar w:fldCharType="separate"/>
          </w:r>
          <w:sdt>
            <w:sdtPr>
              <w:rPr>
                <w:rFonts w:hint="eastAsia" w:ascii="楷体" w:hAnsi="楷体" w:eastAsia="楷体" w:cs="楷体"/>
                <w:kern w:val="2"/>
                <w:sz w:val="24"/>
                <w:szCs w:val="24"/>
              </w:rPr>
              <w:id w:val="-1599636885"/>
              <w:placeholder>
                <w:docPart w:val="{94f42862-b184-42da-8ee4-b885f90c957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2. 董事会（董事）、监事、高级管理人员</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5</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"_Toc16642" </w:instrText>
          </w:r>
          <w:r>
            <w:fldChar w:fldCharType="separate"/>
          </w:r>
          <w:sdt>
            <w:sdtPr>
              <w:rPr>
                <w:rFonts w:hint="eastAsia" w:ascii="楷体" w:hAnsi="楷体" w:eastAsia="楷体" w:cs="楷体"/>
                <w:kern w:val="2"/>
                <w:sz w:val="24"/>
                <w:szCs w:val="24"/>
              </w:rPr>
              <w:id w:val="-1164858612"/>
              <w:placeholder>
                <w:docPart w:val="{a683e020-c9a1-4a06-9db6-5246d5424a6a}"/>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3. 与经济、环境和社会业绩相关的政策及其实施情况</w:t>
              </w:r>
            </w:sdtContent>
          </w:sdt>
          <w:r>
            <w:rPr>
              <w:rFonts w:hint="eastAsia" w:ascii="楷体" w:hAnsi="楷体" w:eastAsia="楷体" w:cs="楷体"/>
              <w:sz w:val="24"/>
              <w:szCs w:val="24"/>
            </w:rPr>
            <w:tab/>
          </w:r>
          <w:r>
            <w:rPr>
              <w:rFonts w:hint="eastAsia" w:ascii="楷体" w:hAnsi="楷体" w:eastAsia="楷体" w:cs="楷体"/>
              <w:sz w:val="24"/>
              <w:szCs w:val="24"/>
            </w:rPr>
            <w:t>7</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"_Toc30013" </w:instrText>
          </w:r>
          <w:r>
            <w:fldChar w:fldCharType="separate"/>
          </w:r>
          <w:sdt>
            <w:sdtPr>
              <w:rPr>
                <w:rFonts w:hint="eastAsia" w:ascii="楷体" w:hAnsi="楷体" w:eastAsia="楷体" w:cs="楷体"/>
                <w:kern w:val="2"/>
                <w:sz w:val="24"/>
                <w:szCs w:val="24"/>
              </w:rPr>
              <w:id w:val="1375970138"/>
              <w:placeholder>
                <w:docPart w:val="{c4067ea8-e128-4db5-b010-e37f2d0bba3e}"/>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4. 利益相关者参与</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7</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"_Toc6433" </w:instrText>
          </w:r>
          <w:r>
            <w:fldChar w:fldCharType="separate"/>
          </w:r>
          <w:sdt>
            <w:sdtPr>
              <w:rPr>
                <w:rFonts w:hint="eastAsia" w:ascii="楷体" w:hAnsi="楷体" w:eastAsia="楷体" w:cs="楷体"/>
                <w:kern w:val="2"/>
                <w:sz w:val="24"/>
                <w:szCs w:val="24"/>
              </w:rPr>
              <w:id w:val="536935450"/>
              <w:placeholder>
                <w:docPart w:val="{4212991e-b2e9-4aca-add5-b8d219bfff4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5. 履行经济、环境和社会责任的计划与步骤</w:t>
              </w:r>
            </w:sdtContent>
          </w:sdt>
          <w:r>
            <w:rPr>
              <w:rFonts w:hint="eastAsia" w:ascii="楷体" w:hAnsi="楷体" w:eastAsia="楷体" w:cs="楷体"/>
              <w:sz w:val="24"/>
              <w:szCs w:val="24"/>
            </w:rPr>
            <w:tab/>
          </w:r>
          <w:r>
            <w:rPr>
              <w:rFonts w:hint="eastAsia" w:ascii="楷体" w:hAnsi="楷体" w:eastAsia="楷体" w:cs="楷体"/>
              <w:sz w:val="24"/>
              <w:szCs w:val="24"/>
            </w:rPr>
            <w:t>8</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"_Toc19306" </w:instrText>
          </w:r>
          <w:r>
            <w:fldChar w:fldCharType="separate"/>
          </w:r>
          <w:sdt>
            <w:sdtPr>
              <w:rPr>
                <w:rFonts w:hint="eastAsia" w:ascii="楷体" w:hAnsi="楷体" w:eastAsia="楷体" w:cs="楷体"/>
                <w:kern w:val="2"/>
                <w:sz w:val="24"/>
                <w:szCs w:val="24"/>
              </w:rPr>
              <w:id w:val="-290216167"/>
              <w:placeholder>
                <w:docPart w:val="{37a8aa62-2fc0-4e2f-b674-5f3f19fbee89}"/>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6. 取得经济、环境和社会管理体系有关的具有公信力的认证状况</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8</w:t>
          </w:r>
          <w:r>
            <w:rPr>
              <w:rFonts w:hint="eastAsia" w:ascii="楷体" w:hAnsi="楷体" w:eastAsia="楷体" w:cs="楷体"/>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"_Toc31653" </w:instrText>
          </w:r>
          <w:r>
            <w:fldChar w:fldCharType="separate"/>
          </w:r>
          <w:sdt>
            <w:sdtPr>
              <w:rPr>
                <w:rFonts w:hint="eastAsia" w:ascii="楷体" w:hAnsi="楷体" w:eastAsia="楷体" w:cs="楷体"/>
                <w:b/>
                <w:bCs/>
                <w:kern w:val="2"/>
                <w:sz w:val="24"/>
                <w:szCs w:val="24"/>
              </w:rPr>
              <w:id w:val="-852803555"/>
              <w:placeholder>
                <w:docPart w:val="{be98f253-1cbf-4cb8-8dd4-127de01ca32e}"/>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四、 经济责任与业绩</w:t>
              </w:r>
            </w:sdtContent>
          </w:sdt>
          <w:r>
            <w:rPr>
              <w:rFonts w:hint="eastAsia" w:ascii="楷体" w:hAnsi="楷体" w:eastAsia="楷体" w:cs="楷体"/>
              <w:b/>
              <w:bCs/>
              <w:sz w:val="24"/>
              <w:szCs w:val="24"/>
            </w:rPr>
            <w:tab/>
          </w:r>
          <w:r>
            <w:rPr>
              <w:rFonts w:hint="eastAsia" w:ascii="楷体" w:hAnsi="楷体" w:eastAsia="楷体" w:cs="楷体"/>
              <w:b/>
              <w:bCs/>
              <w:sz w:val="24"/>
              <w:szCs w:val="24"/>
              <w:lang w:val="en-US" w:eastAsia="zh-CN"/>
            </w:rPr>
            <w:t>8</w:t>
          </w:r>
          <w:r>
            <w:rPr>
              <w:rFonts w:hint="eastAsia" w:ascii="楷体" w:hAnsi="楷体" w:eastAsia="楷体" w:cs="楷体"/>
              <w:b/>
              <w:bCs/>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"_Toc29411" </w:instrText>
          </w:r>
          <w:r>
            <w:fldChar w:fldCharType="separate"/>
          </w:r>
          <w:sdt>
            <w:sdtPr>
              <w:rPr>
                <w:rFonts w:hint="eastAsia" w:ascii="楷体" w:hAnsi="楷体" w:eastAsia="楷体" w:cs="楷体"/>
                <w:kern w:val="2"/>
                <w:sz w:val="24"/>
                <w:szCs w:val="24"/>
              </w:rPr>
              <w:id w:val="-666405354"/>
              <w:placeholder>
                <w:docPart w:val="{b37041e4-0898-4504-acfc-ffe9a8527da2}"/>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1．公司经济发展大事记</w:t>
              </w:r>
            </w:sdtContent>
          </w:sdt>
          <w:r>
            <w:rPr>
              <w:rFonts w:hint="eastAsia" w:ascii="楷体" w:hAnsi="楷体" w:eastAsia="楷体" w:cs="楷体"/>
              <w:sz w:val="24"/>
              <w:szCs w:val="24"/>
            </w:rPr>
            <w:tab/>
          </w:r>
          <w:r>
            <w:rPr>
              <w:rFonts w:hint="eastAsia" w:ascii="楷体" w:hAnsi="楷体" w:eastAsia="楷体" w:cs="楷体"/>
              <w:sz w:val="24"/>
              <w:szCs w:val="24"/>
            </w:rPr>
            <w:t>9</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"_Toc7627" </w:instrText>
          </w:r>
          <w:r>
            <w:fldChar w:fldCharType="separate"/>
          </w:r>
          <w:sdt>
            <w:sdtPr>
              <w:rPr>
                <w:rFonts w:hint="eastAsia" w:ascii="楷体" w:hAnsi="楷体" w:eastAsia="楷体" w:cs="楷体"/>
                <w:kern w:val="2"/>
                <w:sz w:val="24"/>
                <w:szCs w:val="24"/>
              </w:rPr>
              <w:id w:val="-1819866474"/>
              <w:placeholder>
                <w:docPart w:val="{75a9af0e-4893-406c-932c-f3c38b0fc661}"/>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2. 业务指标及风险监管指标</w:t>
              </w:r>
            </w:sdtContent>
          </w:sdt>
          <w:r>
            <w:rPr>
              <w:rFonts w:hint="eastAsia" w:ascii="楷体" w:hAnsi="楷体" w:eastAsia="楷体" w:cs="楷体"/>
              <w:sz w:val="24"/>
              <w:szCs w:val="24"/>
            </w:rPr>
            <w:tab/>
          </w:r>
          <w:r>
            <w:rPr>
              <w:rFonts w:hint="eastAsia" w:ascii="楷体" w:hAnsi="楷体" w:eastAsia="楷体" w:cs="楷体"/>
              <w:sz w:val="24"/>
              <w:szCs w:val="24"/>
              <w:lang w:val="en-US" w:eastAsia="zh-CN"/>
            </w:rPr>
            <w:t>9</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"_Toc12765" </w:instrText>
          </w:r>
          <w:r>
            <w:fldChar w:fldCharType="separate"/>
          </w:r>
          <w:sdt>
            <w:sdtPr>
              <w:rPr>
                <w:rFonts w:hint="eastAsia" w:ascii="楷体" w:hAnsi="楷体" w:eastAsia="楷体" w:cs="楷体"/>
                <w:kern w:val="2"/>
                <w:sz w:val="24"/>
                <w:szCs w:val="24"/>
              </w:rPr>
              <w:id w:val="1885060427"/>
              <w:placeholder>
                <w:docPart w:val="{b987acf8-3b15-4ab5-bf1b-7dd9778db0b6}"/>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3. 对利益相关者的利益分配</w:t>
              </w:r>
            </w:sdtContent>
          </w:sdt>
          <w:r>
            <w:rPr>
              <w:rFonts w:hint="eastAsia" w:ascii="楷体" w:hAnsi="楷体" w:eastAsia="楷体" w:cs="楷体"/>
              <w:sz w:val="24"/>
              <w:szCs w:val="24"/>
            </w:rPr>
            <w:tab/>
          </w:r>
          <w:r>
            <w:rPr>
              <w:rFonts w:hint="eastAsia" w:ascii="楷体" w:hAnsi="楷体" w:eastAsia="楷体" w:cs="楷体"/>
              <w:sz w:val="24"/>
              <w:szCs w:val="24"/>
            </w:rPr>
            <w:t>10</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"_Toc9015" </w:instrText>
          </w:r>
          <w:r>
            <w:fldChar w:fldCharType="separate"/>
          </w:r>
          <w:sdt>
            <w:sdtPr>
              <w:rPr>
                <w:rFonts w:hint="eastAsia" w:ascii="楷体" w:hAnsi="楷体" w:eastAsia="楷体" w:cs="楷体"/>
                <w:kern w:val="2"/>
                <w:sz w:val="24"/>
                <w:szCs w:val="24"/>
              </w:rPr>
              <w:id w:val="1133218554"/>
              <w:placeholder>
                <w:docPart w:val="{2e280923-d1c7-47d8-9792-cf7ad2527151}"/>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4. 研究开发的投入及成果</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lang w:val="en-US" w:eastAsia="zh-CN"/>
            </w:rPr>
            <w:t>1</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"_Toc17063" </w:instrText>
          </w:r>
          <w:r>
            <w:fldChar w:fldCharType="separate"/>
          </w:r>
          <w:sdt>
            <w:sdtPr>
              <w:rPr>
                <w:rFonts w:hint="eastAsia" w:ascii="楷体" w:hAnsi="楷体" w:eastAsia="楷体" w:cs="楷体"/>
                <w:kern w:val="2"/>
                <w:sz w:val="24"/>
                <w:szCs w:val="24"/>
              </w:rPr>
              <w:id w:val="-355575252"/>
              <w:placeholder>
                <w:docPart w:val="{563167c5-1509-4fdb-8cb1-4e194d635337}"/>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5. 固定资产投资及评估</w:t>
              </w:r>
            </w:sdtContent>
          </w:sdt>
          <w:r>
            <w:rPr>
              <w:rFonts w:hint="eastAsia" w:ascii="楷体" w:hAnsi="楷体" w:eastAsia="楷体" w:cs="楷体"/>
              <w:sz w:val="24"/>
              <w:szCs w:val="24"/>
            </w:rPr>
            <w:tab/>
          </w:r>
          <w:r>
            <w:rPr>
              <w:rFonts w:hint="eastAsia" w:ascii="楷体" w:hAnsi="楷体" w:eastAsia="楷体" w:cs="楷体"/>
              <w:sz w:val="24"/>
              <w:szCs w:val="24"/>
            </w:rPr>
            <w:t>12</w:t>
          </w:r>
          <w:r>
            <w:rPr>
              <w:rFonts w:hint="eastAsia" w:ascii="楷体" w:hAnsi="楷体" w:eastAsia="楷体" w:cs="楷体"/>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"_Toc21841" </w:instrText>
          </w:r>
          <w:r>
            <w:fldChar w:fldCharType="separate"/>
          </w:r>
          <w:sdt>
            <w:sdtPr>
              <w:rPr>
                <w:rFonts w:hint="eastAsia" w:ascii="楷体" w:hAnsi="楷体" w:eastAsia="楷体" w:cs="楷体"/>
                <w:b/>
                <w:bCs/>
                <w:kern w:val="2"/>
                <w:sz w:val="24"/>
                <w:szCs w:val="24"/>
              </w:rPr>
              <w:id w:val="-1794515337"/>
              <w:placeholder>
                <w:docPart w:val="{ea9a38e8-3bd9-47e8-b679-36194341ee47}"/>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五、社会责任与业绩</w:t>
              </w:r>
            </w:sdtContent>
          </w:sdt>
          <w:r>
            <w:rPr>
              <w:rFonts w:hint="eastAsia" w:ascii="楷体" w:hAnsi="楷体" w:eastAsia="楷体" w:cs="楷体"/>
              <w:b/>
              <w:bCs/>
              <w:sz w:val="24"/>
              <w:szCs w:val="24"/>
            </w:rPr>
            <w:tab/>
          </w:r>
          <w:r>
            <w:rPr>
              <w:rFonts w:hint="eastAsia" w:ascii="楷体" w:hAnsi="楷体" w:eastAsia="楷体" w:cs="楷体"/>
              <w:b/>
              <w:bCs/>
              <w:sz w:val="24"/>
              <w:szCs w:val="24"/>
            </w:rPr>
            <w:t>1</w:t>
          </w:r>
          <w:r>
            <w:rPr>
              <w:rFonts w:hint="eastAsia" w:ascii="楷体" w:hAnsi="楷体" w:eastAsia="楷体" w:cs="楷体"/>
              <w:b/>
              <w:bCs/>
              <w:sz w:val="24"/>
              <w:szCs w:val="24"/>
              <w:lang w:val="en-US" w:eastAsia="zh-CN"/>
            </w:rPr>
            <w:t>2</w:t>
          </w:r>
          <w:r>
            <w:rPr>
              <w:rFonts w:hint="eastAsia" w:ascii="楷体" w:hAnsi="楷体" w:eastAsia="楷体" w:cs="楷体"/>
              <w:b/>
              <w:bCs/>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"_Toc10258" </w:instrText>
          </w:r>
          <w:r>
            <w:fldChar w:fldCharType="separate"/>
          </w:r>
          <w:sdt>
            <w:sdtPr>
              <w:rPr>
                <w:rFonts w:hint="eastAsia" w:ascii="楷体" w:hAnsi="楷体" w:eastAsia="楷体" w:cs="楷体"/>
                <w:kern w:val="2"/>
                <w:sz w:val="24"/>
                <w:szCs w:val="24"/>
              </w:rPr>
              <w:id w:val="-265147073"/>
              <w:placeholder>
                <w:docPart w:val="{426b730d-13cb-477c-99c9-c7ec750484fa}"/>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1. 公司社会责任大事记</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lang w:val="en-US" w:eastAsia="zh-CN"/>
            </w:rPr>
            <w:t>2</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"_Toc13959" </w:instrText>
          </w:r>
          <w:r>
            <w:fldChar w:fldCharType="separate"/>
          </w:r>
          <w:sdt>
            <w:sdtPr>
              <w:rPr>
                <w:rFonts w:hint="eastAsia" w:ascii="楷体" w:hAnsi="楷体" w:eastAsia="楷体" w:cs="楷体"/>
                <w:kern w:val="2"/>
                <w:sz w:val="24"/>
                <w:szCs w:val="24"/>
              </w:rPr>
              <w:id w:val="643543031"/>
              <w:placeholder>
                <w:docPart w:val="{7ecd536c-e0c8-4ebb-b32a-221e9cdef038}"/>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2．员工管理与合理的工作</w:t>
              </w:r>
            </w:sdtContent>
          </w:sdt>
          <w:r>
            <w:rPr>
              <w:rFonts w:hint="eastAsia" w:ascii="楷体" w:hAnsi="楷体" w:eastAsia="楷体" w:cs="楷体"/>
              <w:sz w:val="24"/>
              <w:szCs w:val="24"/>
            </w:rPr>
            <w:tab/>
          </w:r>
          <w:r>
            <w:rPr>
              <w:rFonts w:hint="eastAsia" w:ascii="楷体" w:hAnsi="楷体" w:eastAsia="楷体" w:cs="楷体"/>
              <w:sz w:val="24"/>
              <w:szCs w:val="24"/>
            </w:rPr>
            <w:t>1</w:t>
          </w:r>
          <w:r>
            <w:rPr>
              <w:rFonts w:hint="eastAsia" w:ascii="楷体" w:hAnsi="楷体" w:eastAsia="楷体" w:cs="楷体"/>
              <w:sz w:val="24"/>
              <w:szCs w:val="24"/>
              <w:lang w:val="en-US" w:eastAsia="zh-CN"/>
            </w:rPr>
            <w:t>3</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"_Toc16941" </w:instrText>
          </w:r>
          <w:r>
            <w:fldChar w:fldCharType="separate"/>
          </w:r>
          <w:sdt>
            <w:sdtPr>
              <w:rPr>
                <w:rFonts w:hint="eastAsia" w:ascii="楷体" w:hAnsi="楷体" w:eastAsia="楷体" w:cs="楷体"/>
                <w:kern w:val="2"/>
                <w:sz w:val="24"/>
                <w:szCs w:val="24"/>
              </w:rPr>
              <w:id w:val="173474040"/>
              <w:placeholder>
                <w:docPart w:val="{ee55d1ef-1a21-4a23-86d6-d8d1f02e4c5d}"/>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3. 员工权利</w:t>
              </w:r>
            </w:sdtContent>
          </w:sdt>
          <w:r>
            <w:rPr>
              <w:rFonts w:hint="eastAsia" w:ascii="楷体" w:hAnsi="楷体" w:eastAsia="楷体" w:cs="楷体"/>
              <w:sz w:val="24"/>
              <w:szCs w:val="24"/>
            </w:rPr>
            <w:tab/>
          </w:r>
          <w:r>
            <w:rPr>
              <w:rFonts w:hint="eastAsia" w:ascii="楷体" w:hAnsi="楷体" w:eastAsia="楷体" w:cs="楷体"/>
              <w:sz w:val="24"/>
              <w:szCs w:val="24"/>
            </w:rPr>
            <w:t>17</w:t>
          </w:r>
          <w:r>
            <w:rPr>
              <w:rFonts w:hint="eastAsia" w:ascii="楷体" w:hAnsi="楷体" w:eastAsia="楷体" w:cs="楷体"/>
              <w:sz w:val="24"/>
              <w:szCs w:val="24"/>
            </w:rPr>
            <w:fldChar w:fldCharType="end"/>
          </w:r>
        </w:p>
        <w:p>
          <w:pPr>
            <w:pStyle w:val="32"/>
            <w:tabs>
              <w:tab w:val="right" w:leader="dot" w:pos="8306"/>
            </w:tabs>
            <w:spacing w:line="360" w:lineRule="auto"/>
            <w:ind w:left="420"/>
            <w:rPr>
              <w:rFonts w:ascii="楷体" w:hAnsi="楷体" w:eastAsia="楷体" w:cs="楷体"/>
              <w:sz w:val="24"/>
              <w:szCs w:val="24"/>
            </w:rPr>
          </w:pPr>
          <w:r>
            <w:fldChar w:fldCharType="begin"/>
          </w:r>
          <w:r>
            <w:instrText xml:space="preserve"> HYPERLINK \l "_Toc22684" </w:instrText>
          </w:r>
          <w:r>
            <w:fldChar w:fldCharType="separate"/>
          </w:r>
          <w:sdt>
            <w:sdtPr>
              <w:rPr>
                <w:rFonts w:hint="eastAsia" w:ascii="楷体" w:hAnsi="楷体" w:eastAsia="楷体" w:cs="楷体"/>
                <w:kern w:val="2"/>
                <w:sz w:val="24"/>
                <w:szCs w:val="24"/>
              </w:rPr>
              <w:id w:val="1805037350"/>
              <w:placeholder>
                <w:docPart w:val="{b605703f-4b0c-4b92-8ef7-05f9bd3514f4}"/>
              </w:placeholder>
            </w:sdtPr>
            <w:sdtEndPr>
              <w:rPr>
                <w:rFonts w:hint="eastAsia" w:ascii="楷体" w:hAnsi="楷体" w:eastAsia="楷体" w:cs="楷体"/>
                <w:kern w:val="2"/>
                <w:sz w:val="24"/>
                <w:szCs w:val="24"/>
              </w:rPr>
            </w:sdtEndPr>
            <w:sdtContent>
              <w:r>
                <w:rPr>
                  <w:rFonts w:hint="eastAsia" w:ascii="楷体" w:hAnsi="楷体" w:eastAsia="楷体" w:cs="楷体"/>
                  <w:sz w:val="24"/>
                  <w:szCs w:val="24"/>
                </w:rPr>
                <w:t>4. 社会影响</w:t>
              </w:r>
            </w:sdtContent>
          </w:sdt>
          <w:r>
            <w:rPr>
              <w:rFonts w:hint="eastAsia" w:ascii="楷体" w:hAnsi="楷体" w:eastAsia="楷体" w:cs="楷体"/>
              <w:sz w:val="24"/>
              <w:szCs w:val="24"/>
            </w:rPr>
            <w:tab/>
          </w:r>
          <w:r>
            <w:rPr>
              <w:rFonts w:hint="eastAsia" w:ascii="楷体" w:hAnsi="楷体" w:eastAsia="楷体" w:cs="楷体"/>
              <w:sz w:val="24"/>
              <w:szCs w:val="24"/>
            </w:rPr>
            <w:t>17</w:t>
          </w:r>
          <w:r>
            <w:rPr>
              <w:rFonts w:hint="eastAsia" w:ascii="楷体" w:hAnsi="楷体" w:eastAsia="楷体" w:cs="楷体"/>
              <w:sz w:val="24"/>
              <w:szCs w:val="24"/>
            </w:rPr>
            <w:fldChar w:fldCharType="end"/>
          </w:r>
        </w:p>
        <w:p>
          <w:pPr>
            <w:pStyle w:val="31"/>
            <w:tabs>
              <w:tab w:val="right" w:leader="dot" w:pos="8306"/>
            </w:tabs>
            <w:spacing w:line="360" w:lineRule="auto"/>
            <w:rPr>
              <w:rFonts w:ascii="楷体" w:hAnsi="楷体" w:eastAsia="楷体" w:cs="楷体"/>
              <w:sz w:val="24"/>
              <w:szCs w:val="24"/>
            </w:rPr>
          </w:pPr>
          <w:r>
            <w:fldChar w:fldCharType="begin"/>
          </w:r>
          <w:r>
            <w:instrText xml:space="preserve"> HYPERLINK \l "_Toc3547" </w:instrText>
          </w:r>
          <w:r>
            <w:fldChar w:fldCharType="separate"/>
          </w:r>
          <w:sdt>
            <w:sdtPr>
              <w:rPr>
                <w:rFonts w:hint="eastAsia" w:ascii="楷体" w:hAnsi="楷体" w:eastAsia="楷体" w:cs="楷体"/>
                <w:b/>
                <w:bCs/>
                <w:kern w:val="2"/>
                <w:sz w:val="24"/>
                <w:szCs w:val="24"/>
              </w:rPr>
              <w:id w:val="-1393964097"/>
              <w:placeholder>
                <w:docPart w:val="{949305dd-5b2b-42b7-949a-c70f05395c8a}"/>
              </w:placeholder>
            </w:sdtPr>
            <w:sdtEndPr>
              <w:rPr>
                <w:rFonts w:hint="eastAsia" w:ascii="楷体" w:hAnsi="楷体" w:eastAsia="楷体" w:cs="楷体"/>
                <w:b/>
                <w:bCs/>
                <w:kern w:val="2"/>
                <w:sz w:val="24"/>
                <w:szCs w:val="24"/>
              </w:rPr>
            </w:sdtEndPr>
            <w:sdtContent>
              <w:r>
                <w:rPr>
                  <w:rFonts w:hint="eastAsia" w:ascii="楷体" w:hAnsi="楷体" w:eastAsia="楷体" w:cs="楷体"/>
                  <w:b/>
                  <w:bCs/>
                  <w:sz w:val="24"/>
                  <w:szCs w:val="24"/>
                </w:rPr>
                <w:t>六、环境责任与业绩</w:t>
              </w:r>
            </w:sdtContent>
          </w:sdt>
          <w:r>
            <w:rPr>
              <w:rFonts w:hint="eastAsia" w:ascii="楷体" w:hAnsi="楷体" w:eastAsia="楷体" w:cs="楷体"/>
              <w:b/>
              <w:bCs/>
              <w:sz w:val="24"/>
              <w:szCs w:val="24"/>
            </w:rPr>
            <w:tab/>
          </w:r>
          <w:r>
            <w:rPr>
              <w:rFonts w:hint="eastAsia" w:ascii="楷体" w:hAnsi="楷体" w:eastAsia="楷体" w:cs="楷体"/>
              <w:b/>
              <w:bCs/>
              <w:sz w:val="24"/>
              <w:szCs w:val="24"/>
            </w:rPr>
            <w:t>20</w:t>
          </w:r>
          <w:r>
            <w:rPr>
              <w:rFonts w:hint="eastAsia" w:ascii="楷体" w:hAnsi="楷体" w:eastAsia="楷体" w:cs="楷体"/>
              <w:b/>
              <w:bCs/>
              <w:sz w:val="24"/>
              <w:szCs w:val="24"/>
            </w:rPr>
            <w:fldChar w:fldCharType="end"/>
          </w:r>
        </w:p>
      </w:sdtContent>
    </w:sdt>
    <w:p>
      <w:pPr>
        <w:jc w:val="center"/>
        <w:rPr>
          <w:rFonts w:ascii="楷体" w:hAnsi="楷体" w:eastAsia="楷体"/>
          <w:b/>
          <w:sz w:val="32"/>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
      <w:pPr>
        <w:jc w:val="center"/>
        <w:rPr>
          <w:rFonts w:ascii="楷体" w:hAnsi="楷体" w:eastAsia="楷体"/>
          <w:sz w:val="36"/>
          <w:szCs w:val="36"/>
        </w:rPr>
        <w:sectPr>
          <w:footerReference r:id="rId7" w:type="first"/>
          <w:footerReference r:id="rId6" w:type="default"/>
          <w:pgSz w:w="11906" w:h="16838"/>
          <w:pgMar w:top="1440" w:right="1800" w:bottom="1440" w:left="1800" w:header="851" w:footer="992" w:gutter="0"/>
          <w:cols w:space="425" w:num="1"/>
          <w:titlePg/>
          <w:docGrid w:type="lines" w:linePitch="312" w:charSpace="0"/>
        </w:sectPr>
      </w:pPr>
    </w:p>
    <w:p>
      <w:pPr>
        <w:jc w:val="center"/>
        <w:rPr>
          <w:rFonts w:ascii="宋体" w:hAnsi="宋体"/>
          <w:b/>
          <w:bCs/>
          <w:color w:val="FF0000"/>
          <w:sz w:val="28"/>
          <w:szCs w:val="28"/>
        </w:rPr>
      </w:pPr>
      <w:bookmarkStart w:id="0" w:name="_Toc21405"/>
      <w:bookmarkStart w:id="1" w:name="_Toc17835"/>
      <w:bookmarkStart w:id="2" w:name="_Toc23749"/>
      <w:bookmarkStart w:id="3" w:name="_Toc5123"/>
      <w:bookmarkStart w:id="4" w:name="_Toc8063"/>
      <w:r>
        <w:rPr>
          <w:rFonts w:hint="eastAsia" w:ascii="楷体" w:hAnsi="楷体" w:eastAsia="楷体"/>
          <w:b/>
          <w:bCs/>
          <w:sz w:val="36"/>
          <w:szCs w:val="36"/>
        </w:rPr>
        <w:t>摘   要</w:t>
      </w:r>
      <w:bookmarkEnd w:id="0"/>
      <w:bookmarkEnd w:id="1"/>
      <w:bookmarkEnd w:id="2"/>
      <w:bookmarkEnd w:id="3"/>
      <w:bookmarkEnd w:id="4"/>
    </w:p>
    <w:p>
      <w:pPr>
        <w:rPr>
          <w:rFonts w:ascii="楷体" w:hAnsi="楷体" w:eastAsia="楷体"/>
          <w:sz w:val="28"/>
          <w:szCs w:val="28"/>
        </w:rPr>
      </w:pPr>
    </w:p>
    <w:p>
      <w:pPr>
        <w:ind w:firstLine="560" w:firstLineChars="200"/>
        <w:rPr>
          <w:rFonts w:hint="eastAsia" w:ascii="楷体" w:hAnsi="楷体" w:eastAsia="楷体"/>
          <w:sz w:val="28"/>
          <w:szCs w:val="28"/>
        </w:rPr>
      </w:pPr>
      <w:r>
        <w:rPr>
          <w:rFonts w:hint="eastAsia" w:ascii="楷体" w:hAnsi="楷体" w:eastAsia="楷体"/>
          <w:sz w:val="28"/>
          <w:szCs w:val="28"/>
        </w:rPr>
        <w:t>2020年，国富期货有限公司在明确作为期货及衍生品服务提供商的基本定位下，以经纪业务为基础，锐意创新进取，克服了疫情带来的不利影响，实现了公司的长足进步，公司客户权益规模和成交规模均创历史新高。与此同时，公司严格按照现代企业制度的治理原则，始终坚持投资者权益保护优先、社</w:t>
      </w:r>
      <w:bookmarkStart w:id="144" w:name="_GoBack"/>
      <w:bookmarkEnd w:id="144"/>
      <w:r>
        <w:rPr>
          <w:rFonts w:hint="eastAsia" w:ascii="楷体" w:hAnsi="楷体" w:eastAsia="楷体"/>
          <w:sz w:val="28"/>
          <w:szCs w:val="28"/>
        </w:rPr>
        <w:t>会责任至上的基本原则，在为股东创造价值和员工利益保障方面取得良性循环发展。</w:t>
      </w:r>
    </w:p>
    <w:p>
      <w:pPr>
        <w:ind w:firstLine="560" w:firstLineChars="200"/>
        <w:rPr>
          <w:rFonts w:hint="eastAsia" w:ascii="楷体" w:hAnsi="楷体" w:eastAsia="楷体"/>
          <w:sz w:val="28"/>
          <w:szCs w:val="28"/>
        </w:rPr>
      </w:pPr>
      <w:r>
        <w:rPr>
          <w:rFonts w:hint="eastAsia" w:ascii="楷体" w:hAnsi="楷体" w:eastAsia="楷体"/>
          <w:sz w:val="28"/>
          <w:szCs w:val="28"/>
        </w:rPr>
        <w:t>2</w:t>
      </w:r>
      <w:r>
        <w:rPr>
          <w:rFonts w:ascii="楷体" w:hAnsi="楷体" w:eastAsia="楷体"/>
          <w:sz w:val="28"/>
          <w:szCs w:val="28"/>
        </w:rPr>
        <w:t>020</w:t>
      </w:r>
      <w:r>
        <w:rPr>
          <w:rFonts w:hint="eastAsia" w:ascii="楷体" w:hAnsi="楷体" w:eastAsia="楷体"/>
          <w:sz w:val="28"/>
          <w:szCs w:val="28"/>
        </w:rPr>
        <w:t>年，我们率先遭受了新冠肺炎疫情冲击，人民生活和国民经济都遭受到了重大挑战和困难。在此情况下，一方面，公司在监管部门指导下制定疫情期间公司运维保障方案，在服从疫情控制大局的前提下确保了公司稳健运行，为期货行业业务连续性提供了支持；另一方面，为积极贡献自身力量，我司与股东协商，向上海市慈善基金会进行捐款，专项用于抗疫物资采购等。在监管部门和行业协会的大力支持下，国富期货与同业一道，展现了期货人的行业风貌和责任担当。</w:t>
      </w:r>
    </w:p>
    <w:p>
      <w:pPr>
        <w:ind w:firstLine="560" w:firstLineChars="200"/>
        <w:rPr>
          <w:rFonts w:hint="eastAsia" w:ascii="楷体_GB2312" w:eastAsia="楷体_GB2312"/>
          <w:sz w:val="28"/>
          <w:szCs w:val="28"/>
        </w:rPr>
      </w:pPr>
      <w:r>
        <w:rPr>
          <w:rFonts w:hint="eastAsia" w:ascii="楷体_GB2312" w:eastAsia="楷体_GB2312"/>
          <w:sz w:val="28"/>
          <w:szCs w:val="28"/>
        </w:rPr>
        <w:t>2</w:t>
      </w:r>
      <w:r>
        <w:rPr>
          <w:rFonts w:ascii="楷体_GB2312" w:eastAsia="楷体_GB2312"/>
          <w:sz w:val="28"/>
          <w:szCs w:val="28"/>
        </w:rPr>
        <w:t>020</w:t>
      </w:r>
      <w:r>
        <w:rPr>
          <w:rFonts w:hint="eastAsia" w:ascii="楷体_GB2312" w:eastAsia="楷体_GB2312"/>
          <w:sz w:val="28"/>
          <w:szCs w:val="28"/>
        </w:rPr>
        <w:t>年也是我们扶贫攻坚的关键一年，是我们全面小康建成之年。国富期货一如既往，通过定点精准帮扶贵州、广西、云南等中西部省份贫困县的脱贫项目，并利用自身力量采购扶贫地区农产品，扶持扶贫地区电商等方式，积极支持国家扶贫工作。</w:t>
      </w:r>
    </w:p>
    <w:p>
      <w:pPr>
        <w:ind w:firstLine="560" w:firstLineChars="200"/>
        <w:rPr>
          <w:rFonts w:ascii="楷体" w:hAnsi="楷体" w:eastAsia="楷体"/>
          <w:sz w:val="28"/>
          <w:szCs w:val="28"/>
        </w:rPr>
      </w:pPr>
    </w:p>
    <w:p>
      <w:pPr>
        <w:pStyle w:val="2"/>
        <w:spacing w:before="0" w:after="0" w:line="720" w:lineRule="auto"/>
        <w:rPr>
          <w:rFonts w:ascii="楷体" w:hAnsi="楷体" w:eastAsia="楷体"/>
          <w:kern w:val="2"/>
          <w:sz w:val="28"/>
          <w:szCs w:val="28"/>
        </w:rPr>
        <w:sectPr>
          <w:footerReference r:id="rId10" w:type="first"/>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bookmarkStart w:id="5" w:name="_Toc14237"/>
      <w:bookmarkStart w:id="6" w:name="_Toc28541"/>
    </w:p>
    <w:p>
      <w:pPr>
        <w:pStyle w:val="2"/>
        <w:spacing w:before="0" w:after="0" w:line="720" w:lineRule="auto"/>
        <w:rPr>
          <w:rFonts w:ascii="楷体" w:hAnsi="楷体" w:eastAsia="楷体"/>
          <w:kern w:val="2"/>
          <w:sz w:val="28"/>
          <w:szCs w:val="28"/>
        </w:rPr>
      </w:pPr>
      <w:bookmarkStart w:id="7" w:name="_Toc14293"/>
      <w:bookmarkStart w:id="8" w:name="_Toc16015"/>
      <w:bookmarkStart w:id="9" w:name="_Toc16453"/>
      <w:r>
        <w:rPr>
          <w:rFonts w:hint="eastAsia" w:ascii="楷体" w:hAnsi="楷体" w:eastAsia="楷体"/>
          <w:kern w:val="2"/>
          <w:sz w:val="28"/>
          <w:szCs w:val="28"/>
        </w:rPr>
        <w:t>一</w:t>
      </w:r>
      <w:r>
        <w:rPr>
          <w:rFonts w:ascii="楷体" w:hAnsi="楷体" w:eastAsia="楷体"/>
          <w:kern w:val="2"/>
          <w:sz w:val="28"/>
          <w:szCs w:val="28"/>
        </w:rPr>
        <w:t>、</w:t>
      </w:r>
      <w:r>
        <w:rPr>
          <w:rFonts w:hint="eastAsia" w:ascii="楷体" w:hAnsi="楷体" w:eastAsia="楷体"/>
          <w:kern w:val="2"/>
          <w:sz w:val="28"/>
          <w:szCs w:val="28"/>
        </w:rPr>
        <w:t>公司愿景与社会责任定位</w:t>
      </w:r>
      <w:bookmarkEnd w:id="5"/>
      <w:bookmarkEnd w:id="6"/>
      <w:bookmarkEnd w:id="7"/>
      <w:bookmarkEnd w:id="8"/>
      <w:bookmarkEnd w:id="9"/>
    </w:p>
    <w:p>
      <w:pPr>
        <w:ind w:firstLine="562" w:firstLineChars="200"/>
        <w:rPr>
          <w:rFonts w:ascii="楷体" w:hAnsi="楷体" w:eastAsia="楷体"/>
          <w:b/>
          <w:bCs/>
          <w:sz w:val="28"/>
          <w:szCs w:val="28"/>
        </w:rPr>
      </w:pPr>
      <w:bookmarkStart w:id="10" w:name="_Toc24761"/>
      <w:bookmarkStart w:id="11" w:name="_Toc16594"/>
      <w:bookmarkStart w:id="12" w:name="_Toc22870"/>
      <w:bookmarkStart w:id="13" w:name="_Toc25064"/>
      <w:bookmarkStart w:id="14" w:name="_Toc15738"/>
      <w:r>
        <w:rPr>
          <w:rFonts w:hint="eastAsia" w:ascii="楷体" w:hAnsi="楷体" w:eastAsia="楷体"/>
          <w:b/>
          <w:bCs/>
          <w:sz w:val="28"/>
          <w:szCs w:val="28"/>
        </w:rPr>
        <w:t>1．公司愿景和发展战略</w:t>
      </w:r>
      <w:bookmarkEnd w:id="10"/>
      <w:bookmarkEnd w:id="11"/>
      <w:bookmarkEnd w:id="12"/>
      <w:bookmarkEnd w:id="13"/>
      <w:bookmarkEnd w:id="14"/>
    </w:p>
    <w:p>
      <w:pPr>
        <w:ind w:firstLine="560" w:firstLineChars="200"/>
        <w:rPr>
          <w:rFonts w:ascii="楷体" w:hAnsi="楷体" w:eastAsia="楷体"/>
          <w:sz w:val="28"/>
          <w:szCs w:val="28"/>
        </w:rPr>
      </w:pPr>
      <w:r>
        <w:rPr>
          <w:rFonts w:hint="eastAsia" w:ascii="楷体" w:hAnsi="楷体" w:eastAsia="楷体"/>
          <w:sz w:val="28"/>
          <w:szCs w:val="28"/>
        </w:rPr>
        <w:t>国富期货有限公司是经中国证券监督管理委员会审核批准成立的专业期货经纪公司。公司在</w:t>
      </w:r>
      <w:r>
        <w:rPr>
          <w:rFonts w:ascii="楷体" w:hAnsi="楷体" w:eastAsia="楷体"/>
          <w:sz w:val="28"/>
          <w:szCs w:val="28"/>
        </w:rPr>
        <w:t>以</w:t>
      </w:r>
      <w:r>
        <w:rPr>
          <w:rFonts w:hint="eastAsia" w:ascii="楷体" w:hAnsi="楷体" w:eastAsia="楷体"/>
          <w:sz w:val="28"/>
          <w:szCs w:val="28"/>
        </w:rPr>
        <w:t>期货及衍生品服务提供商的基本定位下，围绕服务实体经济需求，以经纪业务为基础，不断探索新的业务模式，力图成为一家以服务机构客户为主的专业化、特色化、创新型、技术型的金融服务和财富管理的期货经纪商。</w:t>
      </w:r>
    </w:p>
    <w:p>
      <w:pPr>
        <w:ind w:firstLine="562" w:firstLineChars="200"/>
        <w:rPr>
          <w:rFonts w:ascii="楷体" w:hAnsi="楷体" w:eastAsia="楷体"/>
          <w:b/>
          <w:bCs/>
          <w:sz w:val="28"/>
          <w:szCs w:val="28"/>
        </w:rPr>
      </w:pPr>
      <w:bookmarkStart w:id="15" w:name="_Toc11920"/>
      <w:bookmarkStart w:id="16" w:name="_Toc25376"/>
      <w:bookmarkStart w:id="17" w:name="_Toc12350"/>
      <w:bookmarkStart w:id="18" w:name="_Toc18019"/>
      <w:bookmarkStart w:id="19" w:name="_Toc19681"/>
      <w:r>
        <w:rPr>
          <w:rFonts w:ascii="楷体" w:hAnsi="楷体" w:eastAsia="楷体"/>
          <w:b/>
          <w:bCs/>
          <w:sz w:val="28"/>
          <w:szCs w:val="28"/>
        </w:rPr>
        <w:t>2</w:t>
      </w:r>
      <w:r>
        <w:rPr>
          <w:rFonts w:hint="eastAsia" w:ascii="楷体" w:hAnsi="楷体" w:eastAsia="楷体"/>
          <w:b/>
          <w:bCs/>
          <w:sz w:val="28"/>
          <w:szCs w:val="28"/>
        </w:rPr>
        <w:t>．公司使命和价值观陈述</w:t>
      </w:r>
      <w:bookmarkEnd w:id="15"/>
      <w:bookmarkEnd w:id="16"/>
      <w:bookmarkEnd w:id="17"/>
      <w:bookmarkEnd w:id="18"/>
      <w:bookmarkEnd w:id="19"/>
    </w:p>
    <w:p>
      <w:pPr>
        <w:ind w:firstLine="560" w:firstLineChars="200"/>
        <w:rPr>
          <w:rFonts w:ascii="楷体" w:hAnsi="楷体" w:eastAsia="楷体"/>
          <w:sz w:val="28"/>
          <w:szCs w:val="28"/>
        </w:rPr>
      </w:pPr>
      <w:r>
        <w:rPr>
          <w:rFonts w:hint="eastAsia" w:ascii="楷体" w:hAnsi="楷体" w:eastAsia="楷体"/>
          <w:sz w:val="28"/>
          <w:szCs w:val="28"/>
        </w:rPr>
        <w:t>国富期货有限公司自成立以来，一直努力实现客户、员工与股东的多方互动与共赢。保护投资者权益一直被视为公司的首要责任。同时，公司</w:t>
      </w:r>
      <w:r>
        <w:rPr>
          <w:rFonts w:ascii="楷体" w:hAnsi="楷体" w:eastAsia="楷体"/>
          <w:sz w:val="28"/>
          <w:szCs w:val="28"/>
        </w:rPr>
        <w:t>内部</w:t>
      </w:r>
      <w:r>
        <w:rPr>
          <w:rFonts w:hint="eastAsia" w:ascii="楷体" w:hAnsi="楷体" w:eastAsia="楷体"/>
          <w:sz w:val="28"/>
          <w:szCs w:val="28"/>
        </w:rPr>
        <w:t>平衡股东利益与员工权益，建立健全公司治理架构，积极投身企业文化建设，提高员工福利与保障，加强公司凝聚力。</w:t>
      </w:r>
    </w:p>
    <w:p>
      <w:pPr>
        <w:ind w:firstLine="562" w:firstLineChars="200"/>
        <w:rPr>
          <w:rFonts w:ascii="楷体" w:hAnsi="楷体" w:eastAsia="楷体"/>
          <w:b/>
          <w:bCs/>
          <w:sz w:val="28"/>
          <w:szCs w:val="28"/>
        </w:rPr>
      </w:pPr>
      <w:bookmarkStart w:id="20" w:name="_Toc16458"/>
      <w:bookmarkStart w:id="21" w:name="_Toc21762"/>
      <w:bookmarkStart w:id="22" w:name="_Toc19167"/>
      <w:bookmarkStart w:id="23" w:name="_Toc22197"/>
      <w:bookmarkStart w:id="24" w:name="_Toc24928"/>
      <w:r>
        <w:rPr>
          <w:rFonts w:hint="eastAsia" w:ascii="楷体" w:hAnsi="楷体" w:eastAsia="楷体"/>
          <w:b/>
          <w:bCs/>
          <w:sz w:val="28"/>
          <w:szCs w:val="28"/>
        </w:rPr>
        <w:t>3. 公司对社会责任的认识与定位</w:t>
      </w:r>
      <w:bookmarkEnd w:id="20"/>
      <w:bookmarkEnd w:id="21"/>
      <w:bookmarkEnd w:id="22"/>
      <w:bookmarkEnd w:id="23"/>
      <w:bookmarkEnd w:id="24"/>
    </w:p>
    <w:p>
      <w:pPr>
        <w:ind w:firstLine="560" w:firstLineChars="200"/>
        <w:rPr>
          <w:rFonts w:ascii="楷体" w:hAnsi="楷体" w:eastAsia="楷体"/>
          <w:sz w:val="28"/>
          <w:szCs w:val="28"/>
        </w:rPr>
      </w:pPr>
      <w:r>
        <w:rPr>
          <w:rFonts w:hint="eastAsia" w:ascii="楷体" w:hAnsi="楷体" w:eastAsia="楷体"/>
          <w:sz w:val="28"/>
          <w:szCs w:val="28"/>
        </w:rPr>
        <w:t>公司把社会责任放在与公司治理同样重要的位置。公司积极履行社会责任，利用自身优势，更好地服务于个人及</w:t>
      </w:r>
      <w:r>
        <w:rPr>
          <w:rFonts w:ascii="楷体" w:hAnsi="楷体" w:eastAsia="楷体"/>
          <w:sz w:val="28"/>
          <w:szCs w:val="28"/>
        </w:rPr>
        <w:t>产业</w:t>
      </w:r>
      <w:r>
        <w:rPr>
          <w:rFonts w:hint="eastAsia" w:ascii="楷体" w:hAnsi="楷体" w:eastAsia="楷体"/>
          <w:sz w:val="28"/>
          <w:szCs w:val="28"/>
        </w:rPr>
        <w:t>客户。公司始终认为，客户就是上帝，在风险与收益正相关的现实面前，我们以客户的权益增长为己任，提高客户的风险意识，增强客户培训力度，为客户提供全方位专业的投资意见和建议。同时，公司坚持改革创新，不断拓展业务，保障股东</w:t>
      </w:r>
      <w:r>
        <w:rPr>
          <w:rFonts w:ascii="楷体" w:hAnsi="楷体" w:eastAsia="楷体"/>
          <w:sz w:val="28"/>
          <w:szCs w:val="28"/>
        </w:rPr>
        <w:t>权益和</w:t>
      </w:r>
      <w:r>
        <w:rPr>
          <w:rFonts w:hint="eastAsia" w:ascii="楷体" w:hAnsi="楷体" w:eastAsia="楷体"/>
          <w:sz w:val="28"/>
          <w:szCs w:val="28"/>
        </w:rPr>
        <w:t>员工福利。在公司业绩增长的同时为当地税收和经济增长贡献一份力量。</w:t>
      </w:r>
    </w:p>
    <w:p>
      <w:pPr>
        <w:ind w:firstLine="562" w:firstLineChars="200"/>
        <w:rPr>
          <w:rFonts w:ascii="楷体" w:hAnsi="楷体" w:eastAsia="楷体"/>
          <w:b/>
          <w:bCs/>
          <w:sz w:val="28"/>
          <w:szCs w:val="28"/>
        </w:rPr>
      </w:pPr>
      <w:bookmarkStart w:id="25" w:name="_Toc27980"/>
      <w:bookmarkStart w:id="26" w:name="_Toc10922"/>
      <w:bookmarkStart w:id="27" w:name="_Toc21563"/>
      <w:bookmarkStart w:id="28" w:name="_Toc5111"/>
      <w:bookmarkStart w:id="29" w:name="_Toc25533"/>
      <w:r>
        <w:rPr>
          <w:rFonts w:hint="eastAsia" w:ascii="楷体" w:hAnsi="楷体" w:eastAsia="楷体"/>
          <w:b/>
          <w:bCs/>
          <w:sz w:val="28"/>
          <w:szCs w:val="28"/>
        </w:rPr>
        <w:t>4. 公司董事长的信</w:t>
      </w:r>
      <w:bookmarkEnd w:id="25"/>
      <w:bookmarkEnd w:id="26"/>
      <w:bookmarkEnd w:id="27"/>
      <w:bookmarkEnd w:id="28"/>
      <w:bookmarkEnd w:id="29"/>
    </w:p>
    <w:p>
      <w:pPr>
        <w:ind w:firstLine="560" w:firstLineChars="200"/>
        <w:rPr>
          <w:rFonts w:ascii="楷体" w:hAnsi="楷体" w:eastAsia="楷体"/>
          <w:sz w:val="28"/>
          <w:szCs w:val="28"/>
        </w:rPr>
      </w:pPr>
      <w:r>
        <w:rPr>
          <w:rFonts w:hint="eastAsia" w:ascii="楷体" w:hAnsi="楷体" w:eastAsia="楷体"/>
          <w:sz w:val="28"/>
          <w:szCs w:val="28"/>
        </w:rPr>
        <w:t>2020年是国富期货实现战略发展的一年。本年度，公司各项业务平稳顺利推进，在中国证监会及各地监管局的大力指导下，未出现违法违规情况和重大风险隐患，无重大风险事故或事件发生。</w:t>
      </w:r>
    </w:p>
    <w:p>
      <w:pPr>
        <w:ind w:firstLine="560" w:firstLineChars="200"/>
        <w:rPr>
          <w:rFonts w:ascii="楷体" w:hAnsi="楷体" w:eastAsia="楷体"/>
          <w:sz w:val="28"/>
          <w:szCs w:val="28"/>
        </w:rPr>
      </w:pPr>
      <w:r>
        <w:rPr>
          <w:rFonts w:hint="eastAsia" w:ascii="楷体" w:hAnsi="楷体" w:eastAsia="楷体"/>
          <w:sz w:val="28"/>
          <w:szCs w:val="28"/>
        </w:rPr>
        <w:t>公司严格落实监管精神，强化合规意识，秉承创新理念，有效控制风险，夯实基础、稳健发展，按照《公司法》以及《期货公司监督管理办法》等相关法律</w:t>
      </w:r>
      <w:r>
        <w:rPr>
          <w:rFonts w:ascii="楷体" w:hAnsi="楷体" w:eastAsia="楷体"/>
          <w:sz w:val="28"/>
          <w:szCs w:val="28"/>
        </w:rPr>
        <w:t>法规要求</w:t>
      </w:r>
      <w:r>
        <w:rPr>
          <w:rFonts w:hint="eastAsia" w:ascii="楷体" w:hAnsi="楷体" w:eastAsia="楷体"/>
          <w:sz w:val="28"/>
          <w:szCs w:val="28"/>
        </w:rPr>
        <w:t>，公司在加强传统业务的同时力求公司内控的完善，优化法人治理结构，调整组织架构，招贤纳才，梳理业务流程，转变思想观念，不断拓展新业务和新客户，在金融机构业务和产业客户上均取得了突破，公司客户权益规模和成交量都得到了大幅度的提升，国富期货进入一个全新的发展时期。</w:t>
      </w:r>
    </w:p>
    <w:p>
      <w:pPr>
        <w:ind w:firstLine="560" w:firstLineChars="200"/>
        <w:rPr>
          <w:rFonts w:ascii="楷体" w:hAnsi="楷体" w:eastAsia="楷体"/>
          <w:sz w:val="28"/>
          <w:szCs w:val="28"/>
        </w:rPr>
      </w:pPr>
      <w:r>
        <w:rPr>
          <w:rFonts w:hint="eastAsia" w:ascii="楷体" w:hAnsi="楷体" w:eastAsia="楷体"/>
          <w:sz w:val="28"/>
          <w:szCs w:val="28"/>
        </w:rPr>
        <w:t>公司在稳定传统期货经纪业务的同时，不断积极拓展业务范围，开展资产管理、投资咨询、股票期权经纪业务等最新业务，公司正从一家单一商品期货经纪商快速成长为一家以经纪业务为基础，创新业务为亮点的综合期货业务服务提供商。</w:t>
      </w:r>
    </w:p>
    <w:p>
      <w:pPr>
        <w:spacing w:line="720" w:lineRule="auto"/>
        <w:rPr>
          <w:rFonts w:ascii="楷体" w:hAnsi="楷体" w:eastAsia="楷体"/>
          <w:b/>
          <w:bCs/>
          <w:sz w:val="28"/>
          <w:szCs w:val="28"/>
        </w:rPr>
      </w:pPr>
      <w:bookmarkStart w:id="30" w:name="_Toc22097"/>
      <w:bookmarkStart w:id="31" w:name="_Toc4869"/>
      <w:bookmarkStart w:id="32" w:name="_Toc28765"/>
      <w:bookmarkStart w:id="33" w:name="_Toc4645"/>
      <w:bookmarkStart w:id="34" w:name="_Toc17770"/>
      <w:r>
        <w:rPr>
          <w:rFonts w:hint="eastAsia" w:ascii="楷体" w:hAnsi="楷体" w:eastAsia="楷体"/>
          <w:b/>
          <w:bCs/>
          <w:sz w:val="28"/>
          <w:szCs w:val="28"/>
        </w:rPr>
        <w:t>二</w:t>
      </w:r>
      <w:r>
        <w:rPr>
          <w:rFonts w:ascii="楷体" w:hAnsi="楷体" w:eastAsia="楷体"/>
          <w:b/>
          <w:bCs/>
          <w:sz w:val="28"/>
          <w:szCs w:val="28"/>
        </w:rPr>
        <w:t>、</w:t>
      </w:r>
      <w:r>
        <w:rPr>
          <w:rFonts w:hint="eastAsia" w:ascii="楷体" w:hAnsi="楷体" w:eastAsia="楷体"/>
          <w:b/>
          <w:bCs/>
          <w:sz w:val="28"/>
          <w:szCs w:val="28"/>
        </w:rPr>
        <w:t>公司概况</w:t>
      </w:r>
      <w:bookmarkEnd w:id="30"/>
      <w:bookmarkEnd w:id="31"/>
      <w:bookmarkEnd w:id="32"/>
      <w:bookmarkEnd w:id="33"/>
      <w:bookmarkEnd w:id="34"/>
    </w:p>
    <w:p>
      <w:pPr>
        <w:ind w:firstLine="562" w:firstLineChars="200"/>
        <w:rPr>
          <w:rFonts w:ascii="楷体" w:hAnsi="楷体" w:eastAsia="楷体"/>
          <w:b/>
          <w:bCs/>
          <w:sz w:val="28"/>
          <w:szCs w:val="28"/>
        </w:rPr>
      </w:pPr>
      <w:bookmarkStart w:id="35" w:name="_Toc5568"/>
      <w:bookmarkStart w:id="36" w:name="_Toc12416"/>
      <w:bookmarkStart w:id="37" w:name="_Toc3853"/>
      <w:bookmarkStart w:id="38" w:name="_Toc9795"/>
      <w:bookmarkStart w:id="39" w:name="_Toc12453"/>
      <w:r>
        <w:rPr>
          <w:rFonts w:hint="eastAsia" w:ascii="楷体" w:hAnsi="楷体" w:eastAsia="楷体"/>
          <w:b/>
          <w:bCs/>
          <w:sz w:val="28"/>
          <w:szCs w:val="28"/>
        </w:rPr>
        <w:t>1.公司概况</w:t>
      </w:r>
      <w:bookmarkEnd w:id="35"/>
      <w:bookmarkEnd w:id="36"/>
      <w:bookmarkEnd w:id="37"/>
      <w:bookmarkEnd w:id="38"/>
      <w:bookmarkEnd w:id="39"/>
    </w:p>
    <w:p>
      <w:pPr>
        <w:ind w:firstLine="560" w:firstLineChars="200"/>
        <w:rPr>
          <w:rFonts w:ascii="楷体" w:hAnsi="楷体" w:eastAsia="楷体"/>
          <w:sz w:val="28"/>
          <w:szCs w:val="28"/>
        </w:rPr>
      </w:pPr>
      <w:r>
        <w:rPr>
          <w:rFonts w:hint="eastAsia" w:ascii="楷体" w:hAnsi="楷体" w:eastAsia="楷体"/>
          <w:sz w:val="28"/>
          <w:szCs w:val="28"/>
        </w:rPr>
        <w:t>中文名称：国富期货有限公司</w:t>
      </w:r>
    </w:p>
    <w:p>
      <w:pPr>
        <w:ind w:firstLine="560" w:firstLineChars="200"/>
        <w:rPr>
          <w:rFonts w:ascii="楷体" w:hAnsi="楷体" w:eastAsia="楷体"/>
          <w:sz w:val="28"/>
          <w:szCs w:val="28"/>
        </w:rPr>
      </w:pPr>
      <w:r>
        <w:rPr>
          <w:rFonts w:hint="eastAsia" w:ascii="楷体" w:hAnsi="楷体" w:eastAsia="楷体"/>
          <w:sz w:val="28"/>
          <w:szCs w:val="28"/>
        </w:rPr>
        <w:t>成立日期：1992年12月16日</w:t>
      </w:r>
    </w:p>
    <w:p>
      <w:pPr>
        <w:ind w:firstLine="560" w:firstLineChars="200"/>
        <w:rPr>
          <w:rFonts w:ascii="楷体" w:hAnsi="楷体" w:eastAsia="楷体"/>
          <w:sz w:val="28"/>
          <w:szCs w:val="28"/>
        </w:rPr>
      </w:pPr>
      <w:r>
        <w:rPr>
          <w:rFonts w:hint="eastAsia" w:ascii="楷体" w:hAnsi="楷体" w:eastAsia="楷体"/>
          <w:sz w:val="28"/>
          <w:szCs w:val="28"/>
        </w:rPr>
        <w:t>注册资本：36500万元人民币</w:t>
      </w:r>
    </w:p>
    <w:p>
      <w:pPr>
        <w:ind w:firstLine="560" w:firstLineChars="200"/>
        <w:rPr>
          <w:rFonts w:ascii="楷体" w:hAnsi="楷体" w:eastAsia="楷体"/>
          <w:sz w:val="28"/>
          <w:szCs w:val="28"/>
        </w:rPr>
      </w:pPr>
      <w:r>
        <w:rPr>
          <w:rFonts w:hint="eastAsia" w:ascii="楷体" w:hAnsi="楷体" w:eastAsia="楷体"/>
          <w:sz w:val="28"/>
          <w:szCs w:val="28"/>
        </w:rPr>
        <w:t>法定代表人：马勇</w:t>
      </w:r>
    </w:p>
    <w:p>
      <w:pPr>
        <w:ind w:firstLine="560" w:firstLineChars="200"/>
        <w:rPr>
          <w:rFonts w:ascii="楷体" w:hAnsi="楷体" w:eastAsia="楷体"/>
          <w:sz w:val="28"/>
          <w:szCs w:val="28"/>
        </w:rPr>
      </w:pPr>
      <w:r>
        <w:rPr>
          <w:rFonts w:hint="eastAsia" w:ascii="楷体" w:hAnsi="楷体" w:eastAsia="楷体"/>
          <w:sz w:val="28"/>
          <w:szCs w:val="28"/>
        </w:rPr>
        <w:t>注册地址：中国（上海）自由贸易试验区杨高南路799号25层01、04</w:t>
      </w:r>
    </w:p>
    <w:p>
      <w:pPr>
        <w:ind w:firstLine="560" w:firstLineChars="200"/>
        <w:rPr>
          <w:rFonts w:ascii="楷体" w:hAnsi="楷体" w:eastAsia="楷体"/>
          <w:sz w:val="28"/>
          <w:szCs w:val="28"/>
        </w:rPr>
      </w:pPr>
      <w:r>
        <w:rPr>
          <w:rFonts w:hint="eastAsia" w:ascii="楷体" w:hAnsi="楷体" w:eastAsia="楷体"/>
          <w:sz w:val="28"/>
          <w:szCs w:val="28"/>
        </w:rPr>
        <w:t>股东：上海尊鸿投资有限公司、于淼、张之鹏、刘文</w:t>
      </w:r>
    </w:p>
    <w:p>
      <w:pPr>
        <w:ind w:firstLine="560" w:firstLineChars="200"/>
        <w:rPr>
          <w:rFonts w:ascii="楷体" w:hAnsi="楷体" w:eastAsia="楷体"/>
          <w:sz w:val="28"/>
          <w:szCs w:val="28"/>
        </w:rPr>
      </w:pPr>
      <w:r>
        <w:rPr>
          <w:rFonts w:hint="eastAsia" w:ascii="楷体" w:hAnsi="楷体" w:eastAsia="楷体"/>
          <w:sz w:val="28"/>
          <w:szCs w:val="28"/>
        </w:rPr>
        <w:t>经营范围：商品期货经纪、金融期货经纪、资产管理</w:t>
      </w:r>
      <w:r>
        <w:rPr>
          <w:rFonts w:ascii="楷体" w:hAnsi="楷体" w:eastAsia="楷体"/>
          <w:sz w:val="28"/>
          <w:szCs w:val="28"/>
        </w:rPr>
        <w:t>、期货投资咨询。</w:t>
      </w:r>
    </w:p>
    <w:p>
      <w:pPr>
        <w:ind w:firstLine="560" w:firstLineChars="200"/>
        <w:rPr>
          <w:rFonts w:ascii="楷体" w:hAnsi="楷体" w:eastAsia="楷体"/>
          <w:sz w:val="28"/>
          <w:szCs w:val="28"/>
        </w:rPr>
      </w:pPr>
      <w:r>
        <w:rPr>
          <w:rFonts w:hint="eastAsia" w:ascii="楷体" w:hAnsi="楷体" w:eastAsia="楷体"/>
          <w:sz w:val="28"/>
          <w:szCs w:val="28"/>
        </w:rPr>
        <w:t>会员席位：中国金融期货交易所交易结算会员（0315）;上海期货交易所（0385）、</w:t>
      </w:r>
      <w:r>
        <w:rPr>
          <w:rFonts w:hint="eastAsia" w:ascii="楷体" w:hAnsi="楷体" w:eastAsia="楷体" w:cs="Times New Roman"/>
          <w:sz w:val="28"/>
          <w:szCs w:val="28"/>
        </w:rPr>
        <w:t>上海国际能源交易中心（8385）、</w:t>
      </w:r>
      <w:r>
        <w:rPr>
          <w:rFonts w:hint="eastAsia" w:ascii="楷体" w:hAnsi="楷体" w:eastAsia="楷体"/>
          <w:sz w:val="28"/>
          <w:szCs w:val="28"/>
        </w:rPr>
        <w:t>大连商品交易所（0080）、郑州商品交易所（0160）会员、上交所股票期权经纪商资格、深交所股票期权经纪商资格。</w:t>
      </w:r>
    </w:p>
    <w:p>
      <w:pPr>
        <w:ind w:firstLine="560" w:firstLineChars="200"/>
        <w:rPr>
          <w:rFonts w:ascii="楷体" w:hAnsi="楷体" w:eastAsia="楷体"/>
          <w:sz w:val="28"/>
          <w:szCs w:val="28"/>
        </w:rPr>
      </w:pPr>
      <w:r>
        <w:rPr>
          <w:rFonts w:hint="eastAsia" w:ascii="楷体" w:hAnsi="楷体" w:eastAsia="楷体"/>
          <w:sz w:val="28"/>
          <w:szCs w:val="28"/>
        </w:rPr>
        <w:t>国富期货有限公司是经中国证券监督管理委员会审核批准，在上海市市场监督管理局登记注册的专业期货经纪公司。国富期货成立于1992年12月，总部设在上海，前身为辽宁省粮食厅下属的辽粮期货，是大连商品交易所早期会员和理事单位。随着中国期货行业的蓬勃发展，国富期货也实现了跳跃式的发展，现在是大连商品交易所、郑州商品交易所、中国金融期货交易所和上海期货交易所、上海国际能源中心的会员，能够为农产品、金属、能源化工、股指期货、国债期货、原油等多个领域的期货交易提供经纪服务。此外，公司获得上海证券交易所和深圳证券交易所股票期权交易参与人资格，能够提供股票期权经纪业务服务。国富期货有限公司的全资子公司国富裕宸（上海）商贸有限公司正式通过中国期货业协会备案，成为国富期货有限公司的风险管理子公司，能够为产业客户提供专业化、精细化的全面风险管理服务。</w:t>
      </w:r>
    </w:p>
    <w:p>
      <w:pPr>
        <w:ind w:firstLine="560" w:firstLineChars="200"/>
        <w:rPr>
          <w:rFonts w:ascii="楷体" w:hAnsi="楷体" w:eastAsia="楷体"/>
          <w:sz w:val="28"/>
          <w:szCs w:val="28"/>
        </w:rPr>
      </w:pPr>
      <w:r>
        <w:rPr>
          <w:rFonts w:hint="eastAsia" w:ascii="楷体" w:hAnsi="楷体" w:eastAsia="楷体"/>
          <w:sz w:val="28"/>
          <w:szCs w:val="28"/>
        </w:rPr>
        <w:t>经历了二十余年的期海沉淀，国富期货拥有了一批从事期货行业多年、具有丰富经验的高素质专业人才，建立了客服、研究、结算、合规、风控等完善的服务体系。在投研方面，公司以粮油产业为突破口，与境内外具备世界影响力的多家跨国粮油企业都建立了合作伙伴关系，使得国富期货的研发团队能够与客户共享更加完善的粮油产业行业信息和服务平台。</w:t>
      </w:r>
    </w:p>
    <w:p>
      <w:pPr>
        <w:ind w:firstLine="560" w:firstLineChars="200"/>
        <w:rPr>
          <w:rFonts w:ascii="楷体" w:hAnsi="楷体" w:eastAsia="楷体"/>
          <w:sz w:val="28"/>
          <w:szCs w:val="28"/>
        </w:rPr>
      </w:pPr>
      <w:r>
        <w:rPr>
          <w:rFonts w:hint="eastAsia" w:ascii="楷体" w:hAnsi="楷体" w:eastAsia="楷体"/>
          <w:sz w:val="28"/>
          <w:szCs w:val="28"/>
        </w:rPr>
        <w:t>多年来国富期货合法经营，规范运作，从未出现大的风险事故和纠纷，并凭借良好的口碑和孜孜不倦的努力，培养了一大批日益成熟的客户群体。公司秉承专业金融、创新服务的理念，以团队的力量、进取的精神、诚信的商业品质，公司</w:t>
      </w:r>
      <w:r>
        <w:rPr>
          <w:rFonts w:ascii="楷体" w:hAnsi="楷体" w:eastAsia="楷体"/>
          <w:sz w:val="28"/>
          <w:szCs w:val="28"/>
        </w:rPr>
        <w:t>将</w:t>
      </w:r>
      <w:r>
        <w:rPr>
          <w:rFonts w:hint="eastAsia" w:ascii="楷体" w:hAnsi="楷体" w:eastAsia="楷体"/>
          <w:sz w:val="28"/>
          <w:szCs w:val="28"/>
        </w:rPr>
        <w:t>为客户提供全方位的专业服务。</w:t>
      </w:r>
    </w:p>
    <w:p>
      <w:pPr>
        <w:ind w:firstLine="562" w:firstLineChars="200"/>
        <w:rPr>
          <w:rFonts w:ascii="楷体" w:hAnsi="楷体" w:eastAsia="楷体"/>
          <w:b/>
          <w:bCs/>
          <w:sz w:val="28"/>
          <w:szCs w:val="28"/>
        </w:rPr>
      </w:pPr>
      <w:bookmarkStart w:id="40" w:name="_Toc5706"/>
      <w:bookmarkStart w:id="41" w:name="_Toc8107"/>
      <w:bookmarkStart w:id="42" w:name="_Toc27514"/>
      <w:bookmarkStart w:id="43" w:name="_Toc28462"/>
      <w:bookmarkStart w:id="44" w:name="_Toc26064"/>
      <w:r>
        <w:rPr>
          <w:rFonts w:hint="eastAsia" w:ascii="楷体" w:hAnsi="楷体" w:eastAsia="楷体"/>
          <w:b/>
          <w:bCs/>
          <w:sz w:val="28"/>
          <w:szCs w:val="28"/>
        </w:rPr>
        <w:t>2.公司大事记</w:t>
      </w:r>
      <w:bookmarkEnd w:id="40"/>
      <w:bookmarkEnd w:id="41"/>
      <w:bookmarkEnd w:id="42"/>
      <w:bookmarkEnd w:id="43"/>
      <w:bookmarkEnd w:id="44"/>
    </w:p>
    <w:p>
      <w:pPr>
        <w:ind w:firstLine="560" w:firstLineChars="200"/>
        <w:rPr>
          <w:rFonts w:ascii="楷体" w:hAnsi="楷体" w:eastAsia="楷体"/>
          <w:sz w:val="28"/>
          <w:szCs w:val="28"/>
        </w:rPr>
      </w:pPr>
      <w:r>
        <w:rPr>
          <w:rFonts w:hint="eastAsia" w:ascii="楷体" w:hAnsi="楷体" w:eastAsia="楷体"/>
          <w:sz w:val="28"/>
          <w:szCs w:val="28"/>
        </w:rPr>
        <w:t>（1）2020年7月，国富期货有限公司取得深圳证券交易所股票期权经纪商资格，公司业务种类和范围进一步拓宽。</w:t>
      </w:r>
    </w:p>
    <w:p>
      <w:pPr>
        <w:ind w:firstLine="560" w:firstLineChars="200"/>
        <w:rPr>
          <w:rFonts w:ascii="楷体" w:hAnsi="楷体" w:eastAsia="楷体"/>
          <w:sz w:val="28"/>
          <w:szCs w:val="28"/>
        </w:rPr>
      </w:pPr>
      <w:r>
        <w:rPr>
          <w:rFonts w:hint="eastAsia" w:ascii="楷体" w:hAnsi="楷体" w:eastAsia="楷体"/>
          <w:sz w:val="28"/>
          <w:szCs w:val="28"/>
        </w:rPr>
        <w:t>（2）2020年8月，国富期货有限公司变更注册地址为中国（上海）自由贸易试验区杨高南路799号25层 01、04。</w:t>
      </w:r>
    </w:p>
    <w:p>
      <w:pPr>
        <w:ind w:firstLine="560" w:firstLineChars="200"/>
        <w:rPr>
          <w:rFonts w:ascii="楷体" w:hAnsi="楷体" w:eastAsia="楷体"/>
          <w:sz w:val="28"/>
          <w:szCs w:val="28"/>
        </w:rPr>
      </w:pPr>
      <w:r>
        <w:rPr>
          <w:rFonts w:hint="eastAsia" w:ascii="楷体" w:hAnsi="楷体" w:eastAsia="楷体"/>
          <w:sz w:val="28"/>
          <w:szCs w:val="28"/>
        </w:rPr>
        <w:t>（3）2020年11月，国富期货有限公司的全资子公司国富裕宸（上海）商贸有限公司正式通过中国期货业协会备案，成为国富期货有限公司的风险管理子公司，将为产业客户提供专业化、精细化的全面风险管理服务。</w:t>
      </w:r>
    </w:p>
    <w:p>
      <w:pPr>
        <w:ind w:firstLine="560" w:firstLineChars="200"/>
        <w:rPr>
          <w:rFonts w:ascii="楷体" w:hAnsi="楷体" w:eastAsia="楷体"/>
          <w:sz w:val="28"/>
          <w:szCs w:val="28"/>
        </w:rPr>
      </w:pPr>
      <w:r>
        <w:rPr>
          <w:rFonts w:hint="eastAsia" w:ascii="楷体" w:hAnsi="楷体" w:eastAsia="楷体"/>
          <w:sz w:val="28"/>
          <w:szCs w:val="28"/>
        </w:rPr>
        <w:t>（4）2020年12月，国富期货有限公司的风险管理子公司国富裕宸（上海）商贸有限公司申请的仓单服务、基差贸易两项试点业务正式通过中国期货业协会备案，成功取得仓单服务和基差贸易两项试点业务资格。</w:t>
      </w:r>
    </w:p>
    <w:p>
      <w:pPr>
        <w:ind w:firstLine="562" w:firstLineChars="200"/>
        <w:rPr>
          <w:rFonts w:ascii="楷体" w:hAnsi="楷体" w:eastAsia="楷体"/>
          <w:b/>
          <w:bCs/>
          <w:sz w:val="28"/>
          <w:szCs w:val="28"/>
        </w:rPr>
      </w:pPr>
      <w:bookmarkStart w:id="45" w:name="_Toc5040"/>
      <w:bookmarkStart w:id="46" w:name="_Toc27705"/>
      <w:bookmarkStart w:id="47" w:name="_Toc1480"/>
      <w:bookmarkStart w:id="48" w:name="_Toc22928"/>
      <w:bookmarkStart w:id="49" w:name="_Toc6857"/>
      <w:r>
        <w:rPr>
          <w:rFonts w:hint="eastAsia" w:ascii="楷体" w:hAnsi="楷体" w:eastAsia="楷体"/>
          <w:b/>
          <w:bCs/>
          <w:sz w:val="28"/>
          <w:szCs w:val="28"/>
        </w:rPr>
        <w:t>3．公司利益相关者关系</w:t>
      </w:r>
      <w:bookmarkEnd w:id="45"/>
      <w:bookmarkEnd w:id="46"/>
      <w:bookmarkEnd w:id="47"/>
      <w:bookmarkEnd w:id="48"/>
      <w:bookmarkEnd w:id="49"/>
    </w:p>
    <w:p>
      <w:pPr>
        <w:ind w:firstLine="560" w:firstLineChars="200"/>
        <w:rPr>
          <w:rFonts w:ascii="楷体" w:hAnsi="楷体" w:eastAsia="楷体"/>
          <w:sz w:val="28"/>
          <w:szCs w:val="28"/>
        </w:rPr>
      </w:pPr>
      <w:r>
        <w:rPr>
          <w:rFonts w:hint="eastAsia" w:ascii="楷体" w:hAnsi="楷体" w:eastAsia="楷体"/>
          <w:sz w:val="28"/>
          <w:szCs w:val="28"/>
        </w:rPr>
        <w:t>截止本报告</w:t>
      </w:r>
      <w:r>
        <w:rPr>
          <w:rFonts w:ascii="楷体" w:hAnsi="楷体" w:eastAsia="楷体"/>
          <w:sz w:val="28"/>
          <w:szCs w:val="28"/>
        </w:rPr>
        <w:t>上报日，</w:t>
      </w:r>
      <w:r>
        <w:rPr>
          <w:rFonts w:hint="eastAsia" w:ascii="楷体" w:hAnsi="楷体" w:eastAsia="楷体"/>
          <w:sz w:val="28"/>
          <w:szCs w:val="28"/>
        </w:rPr>
        <w:t>股东的出资额和持股比例如下：</w:t>
      </w:r>
    </w:p>
    <w:tbl>
      <w:tblPr>
        <w:tblStyle w:val="15"/>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453"/>
        <w:gridCol w:w="226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auto"/>
            <w:vAlign w:val="center"/>
          </w:tcPr>
          <w:p>
            <w:pPr>
              <w:jc w:val="center"/>
              <w:rPr>
                <w:rFonts w:ascii="楷体" w:hAnsi="楷体" w:eastAsia="楷体"/>
                <w:sz w:val="24"/>
              </w:rPr>
            </w:pPr>
            <w:r>
              <w:rPr>
                <w:rFonts w:hint="eastAsia" w:ascii="楷体" w:hAnsi="楷体" w:eastAsia="楷体"/>
                <w:sz w:val="24"/>
              </w:rPr>
              <w:t>序号</w:t>
            </w:r>
          </w:p>
        </w:tc>
        <w:tc>
          <w:tcPr>
            <w:tcW w:w="3453" w:type="dxa"/>
            <w:shd w:val="clear" w:color="auto" w:fill="auto"/>
            <w:vAlign w:val="center"/>
          </w:tcPr>
          <w:p>
            <w:pPr>
              <w:jc w:val="center"/>
              <w:rPr>
                <w:rFonts w:ascii="楷体" w:hAnsi="楷体" w:eastAsia="楷体"/>
                <w:sz w:val="24"/>
              </w:rPr>
            </w:pPr>
            <w:r>
              <w:rPr>
                <w:rFonts w:hint="eastAsia" w:ascii="楷体" w:hAnsi="楷体" w:eastAsia="楷体"/>
                <w:sz w:val="24"/>
              </w:rPr>
              <w:t>股东名称</w:t>
            </w:r>
          </w:p>
        </w:tc>
        <w:tc>
          <w:tcPr>
            <w:tcW w:w="2268" w:type="dxa"/>
            <w:shd w:val="clear" w:color="auto" w:fill="auto"/>
            <w:vAlign w:val="center"/>
          </w:tcPr>
          <w:p>
            <w:pPr>
              <w:jc w:val="center"/>
              <w:rPr>
                <w:rFonts w:ascii="楷体" w:hAnsi="楷体" w:eastAsia="楷体"/>
                <w:sz w:val="24"/>
              </w:rPr>
            </w:pPr>
            <w:r>
              <w:rPr>
                <w:rFonts w:hint="eastAsia" w:ascii="楷体" w:hAnsi="楷体" w:eastAsia="楷体"/>
                <w:sz w:val="24"/>
              </w:rPr>
              <w:t>出资金额（万元）</w:t>
            </w:r>
          </w:p>
        </w:tc>
        <w:tc>
          <w:tcPr>
            <w:tcW w:w="1674" w:type="dxa"/>
            <w:shd w:val="clear" w:color="auto" w:fill="auto"/>
            <w:vAlign w:val="center"/>
          </w:tcPr>
          <w:p>
            <w:pPr>
              <w:jc w:val="center"/>
              <w:rPr>
                <w:rFonts w:ascii="楷体" w:hAnsi="楷体" w:eastAsia="楷体"/>
                <w:sz w:val="24"/>
              </w:rPr>
            </w:pPr>
            <w:r>
              <w:rPr>
                <w:rFonts w:hint="eastAsia" w:ascii="楷体" w:hAnsi="楷体" w:eastAsia="楷体"/>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auto"/>
            <w:vAlign w:val="center"/>
          </w:tcPr>
          <w:p>
            <w:pPr>
              <w:jc w:val="center"/>
              <w:rPr>
                <w:rFonts w:ascii="楷体" w:hAnsi="楷体" w:eastAsia="楷体"/>
                <w:sz w:val="24"/>
              </w:rPr>
            </w:pPr>
            <w:r>
              <w:rPr>
                <w:rFonts w:ascii="楷体" w:hAnsi="楷体" w:eastAsia="楷体"/>
                <w:sz w:val="24"/>
              </w:rPr>
              <w:t>1</w:t>
            </w:r>
          </w:p>
        </w:tc>
        <w:tc>
          <w:tcPr>
            <w:tcW w:w="3453" w:type="dxa"/>
            <w:shd w:val="clear" w:color="auto" w:fill="auto"/>
            <w:vAlign w:val="center"/>
          </w:tcPr>
          <w:p>
            <w:pPr>
              <w:jc w:val="center"/>
              <w:rPr>
                <w:rFonts w:ascii="楷体" w:hAnsi="楷体" w:eastAsia="楷体"/>
                <w:sz w:val="24"/>
              </w:rPr>
            </w:pPr>
            <w:r>
              <w:rPr>
                <w:rFonts w:hint="eastAsia" w:ascii="楷体" w:hAnsi="楷体" w:eastAsia="楷体"/>
                <w:sz w:val="24"/>
              </w:rPr>
              <w:t>上海尊鸿投资有限公司</w:t>
            </w:r>
          </w:p>
        </w:tc>
        <w:tc>
          <w:tcPr>
            <w:tcW w:w="2268" w:type="dxa"/>
            <w:shd w:val="clear" w:color="auto" w:fill="auto"/>
            <w:vAlign w:val="center"/>
          </w:tcPr>
          <w:p>
            <w:pPr>
              <w:jc w:val="center"/>
              <w:rPr>
                <w:rFonts w:ascii="楷体" w:hAnsi="楷体" w:eastAsia="楷体"/>
                <w:sz w:val="24"/>
              </w:rPr>
            </w:pPr>
            <w:r>
              <w:rPr>
                <w:rFonts w:ascii="楷体" w:hAnsi="楷体" w:eastAsia="楷体"/>
                <w:sz w:val="24"/>
              </w:rPr>
              <w:t>2</w:t>
            </w:r>
            <w:r>
              <w:rPr>
                <w:rFonts w:hint="eastAsia" w:ascii="楷体" w:hAnsi="楷体" w:eastAsia="楷体"/>
                <w:sz w:val="24"/>
              </w:rPr>
              <w:t>9250</w:t>
            </w:r>
          </w:p>
        </w:tc>
        <w:tc>
          <w:tcPr>
            <w:tcW w:w="1674" w:type="dxa"/>
            <w:shd w:val="clear" w:color="auto" w:fill="auto"/>
            <w:vAlign w:val="center"/>
          </w:tcPr>
          <w:p>
            <w:pPr>
              <w:jc w:val="center"/>
              <w:rPr>
                <w:rFonts w:ascii="楷体" w:hAnsi="楷体" w:eastAsia="楷体"/>
                <w:sz w:val="24"/>
              </w:rPr>
            </w:pPr>
            <w:r>
              <w:rPr>
                <w:rFonts w:hint="eastAsia" w:ascii="楷体" w:hAnsi="楷体" w:eastAsia="楷体"/>
                <w:sz w:val="24"/>
              </w:rPr>
              <w:t>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auto"/>
            <w:vAlign w:val="center"/>
          </w:tcPr>
          <w:p>
            <w:pPr>
              <w:jc w:val="center"/>
              <w:rPr>
                <w:rFonts w:ascii="楷体" w:hAnsi="楷体" w:eastAsia="楷体"/>
                <w:sz w:val="24"/>
              </w:rPr>
            </w:pPr>
            <w:r>
              <w:rPr>
                <w:rFonts w:hint="eastAsia" w:ascii="楷体" w:hAnsi="楷体" w:eastAsia="楷体"/>
                <w:sz w:val="24"/>
              </w:rPr>
              <w:t>2</w:t>
            </w:r>
          </w:p>
        </w:tc>
        <w:tc>
          <w:tcPr>
            <w:tcW w:w="3453" w:type="dxa"/>
            <w:shd w:val="clear" w:color="auto" w:fill="auto"/>
            <w:vAlign w:val="center"/>
          </w:tcPr>
          <w:p>
            <w:pPr>
              <w:jc w:val="center"/>
              <w:rPr>
                <w:rFonts w:ascii="楷体" w:hAnsi="楷体" w:eastAsia="楷体"/>
                <w:sz w:val="24"/>
              </w:rPr>
            </w:pPr>
            <w:r>
              <w:rPr>
                <w:rFonts w:hint="eastAsia" w:ascii="楷体" w:hAnsi="楷体" w:eastAsia="楷体"/>
                <w:sz w:val="24"/>
              </w:rPr>
              <w:t>于淼</w:t>
            </w:r>
          </w:p>
        </w:tc>
        <w:tc>
          <w:tcPr>
            <w:tcW w:w="2268" w:type="dxa"/>
            <w:shd w:val="clear" w:color="auto" w:fill="auto"/>
            <w:vAlign w:val="center"/>
          </w:tcPr>
          <w:p>
            <w:pPr>
              <w:jc w:val="center"/>
              <w:rPr>
                <w:rFonts w:ascii="楷体" w:hAnsi="楷体" w:eastAsia="楷体"/>
                <w:sz w:val="24"/>
              </w:rPr>
            </w:pPr>
            <w:r>
              <w:rPr>
                <w:rFonts w:hint="eastAsia" w:ascii="楷体" w:hAnsi="楷体" w:eastAsia="楷体"/>
                <w:sz w:val="24"/>
              </w:rPr>
              <w:t>3650</w:t>
            </w:r>
          </w:p>
        </w:tc>
        <w:tc>
          <w:tcPr>
            <w:tcW w:w="1674" w:type="dxa"/>
            <w:shd w:val="clear" w:color="auto" w:fill="auto"/>
            <w:vAlign w:val="center"/>
          </w:tcPr>
          <w:p>
            <w:pPr>
              <w:jc w:val="center"/>
              <w:rPr>
                <w:rFonts w:ascii="楷体" w:hAnsi="楷体" w:eastAsia="楷体"/>
                <w:sz w:val="24"/>
              </w:rPr>
            </w:pPr>
            <w:r>
              <w:rPr>
                <w:rFonts w:hint="eastAsia" w:ascii="楷体" w:hAnsi="楷体" w:eastAsia="楷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auto"/>
            <w:vAlign w:val="center"/>
          </w:tcPr>
          <w:p>
            <w:pPr>
              <w:jc w:val="center"/>
              <w:rPr>
                <w:rFonts w:ascii="楷体" w:hAnsi="楷体" w:eastAsia="楷体"/>
                <w:sz w:val="24"/>
              </w:rPr>
            </w:pPr>
            <w:r>
              <w:rPr>
                <w:rFonts w:hint="eastAsia" w:ascii="楷体" w:hAnsi="楷体" w:eastAsia="楷体"/>
                <w:sz w:val="24"/>
              </w:rPr>
              <w:t>3</w:t>
            </w:r>
          </w:p>
        </w:tc>
        <w:tc>
          <w:tcPr>
            <w:tcW w:w="3453" w:type="dxa"/>
            <w:shd w:val="clear" w:color="auto" w:fill="auto"/>
            <w:vAlign w:val="center"/>
          </w:tcPr>
          <w:p>
            <w:pPr>
              <w:jc w:val="center"/>
              <w:rPr>
                <w:rFonts w:ascii="楷体" w:hAnsi="楷体" w:eastAsia="楷体"/>
                <w:sz w:val="24"/>
              </w:rPr>
            </w:pPr>
            <w:r>
              <w:rPr>
                <w:rFonts w:hint="eastAsia" w:ascii="楷体" w:hAnsi="楷体" w:eastAsia="楷体"/>
                <w:sz w:val="24"/>
              </w:rPr>
              <w:t>张之鹏</w:t>
            </w:r>
          </w:p>
        </w:tc>
        <w:tc>
          <w:tcPr>
            <w:tcW w:w="2268" w:type="dxa"/>
            <w:shd w:val="clear" w:color="auto" w:fill="auto"/>
            <w:vAlign w:val="center"/>
          </w:tcPr>
          <w:p>
            <w:pPr>
              <w:jc w:val="center"/>
              <w:rPr>
                <w:rFonts w:ascii="楷体" w:hAnsi="楷体" w:eastAsia="楷体"/>
                <w:sz w:val="24"/>
              </w:rPr>
            </w:pPr>
            <w:r>
              <w:rPr>
                <w:rFonts w:hint="eastAsia" w:ascii="楷体" w:hAnsi="楷体" w:eastAsia="楷体"/>
                <w:sz w:val="24"/>
              </w:rPr>
              <w:t>1800</w:t>
            </w:r>
          </w:p>
        </w:tc>
        <w:tc>
          <w:tcPr>
            <w:tcW w:w="1674" w:type="dxa"/>
            <w:shd w:val="clear" w:color="auto" w:fill="auto"/>
            <w:vAlign w:val="center"/>
          </w:tcPr>
          <w:p>
            <w:pPr>
              <w:jc w:val="center"/>
              <w:rPr>
                <w:rFonts w:ascii="楷体" w:hAnsi="楷体" w:eastAsia="楷体"/>
                <w:sz w:val="24"/>
              </w:rPr>
            </w:pPr>
            <w:r>
              <w:rPr>
                <w:rFonts w:hint="eastAsia" w:ascii="楷体" w:hAnsi="楷体" w:eastAsia="楷体"/>
                <w:sz w:val="24"/>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auto"/>
            <w:vAlign w:val="center"/>
          </w:tcPr>
          <w:p>
            <w:pPr>
              <w:jc w:val="center"/>
              <w:rPr>
                <w:rFonts w:ascii="楷体" w:hAnsi="楷体" w:eastAsia="楷体"/>
                <w:sz w:val="24"/>
              </w:rPr>
            </w:pPr>
            <w:r>
              <w:rPr>
                <w:rFonts w:hint="eastAsia" w:ascii="楷体" w:hAnsi="楷体" w:eastAsia="楷体"/>
                <w:sz w:val="24"/>
              </w:rPr>
              <w:t>4</w:t>
            </w:r>
          </w:p>
        </w:tc>
        <w:tc>
          <w:tcPr>
            <w:tcW w:w="3453" w:type="dxa"/>
            <w:shd w:val="clear" w:color="auto" w:fill="auto"/>
            <w:vAlign w:val="center"/>
          </w:tcPr>
          <w:p>
            <w:pPr>
              <w:jc w:val="center"/>
              <w:rPr>
                <w:rFonts w:ascii="楷体" w:hAnsi="楷体" w:eastAsia="楷体"/>
                <w:sz w:val="24"/>
              </w:rPr>
            </w:pPr>
            <w:r>
              <w:rPr>
                <w:rFonts w:hint="eastAsia" w:ascii="楷体" w:hAnsi="楷体" w:eastAsia="楷体"/>
                <w:sz w:val="24"/>
              </w:rPr>
              <w:t>刘文</w:t>
            </w:r>
          </w:p>
        </w:tc>
        <w:tc>
          <w:tcPr>
            <w:tcW w:w="2268" w:type="dxa"/>
            <w:shd w:val="clear" w:color="auto" w:fill="auto"/>
            <w:vAlign w:val="center"/>
          </w:tcPr>
          <w:p>
            <w:pPr>
              <w:jc w:val="center"/>
              <w:rPr>
                <w:rFonts w:ascii="楷体" w:hAnsi="楷体" w:eastAsia="楷体"/>
                <w:sz w:val="24"/>
              </w:rPr>
            </w:pPr>
            <w:r>
              <w:rPr>
                <w:rFonts w:hint="eastAsia" w:ascii="楷体" w:hAnsi="楷体" w:eastAsia="楷体"/>
                <w:sz w:val="24"/>
              </w:rPr>
              <w:t>1800</w:t>
            </w:r>
          </w:p>
        </w:tc>
        <w:tc>
          <w:tcPr>
            <w:tcW w:w="1674" w:type="dxa"/>
            <w:shd w:val="clear" w:color="auto" w:fill="auto"/>
            <w:vAlign w:val="center"/>
          </w:tcPr>
          <w:p>
            <w:pPr>
              <w:jc w:val="center"/>
              <w:rPr>
                <w:rFonts w:ascii="楷体" w:hAnsi="楷体" w:eastAsia="楷体"/>
                <w:sz w:val="24"/>
              </w:rPr>
            </w:pPr>
            <w:r>
              <w:rPr>
                <w:rFonts w:hint="eastAsia" w:ascii="楷体" w:hAnsi="楷体" w:eastAsia="楷体"/>
                <w:sz w:val="24"/>
              </w:rPr>
              <w:t>4.93%</w:t>
            </w:r>
          </w:p>
        </w:tc>
      </w:tr>
    </w:tbl>
    <w:p>
      <w:pPr>
        <w:ind w:firstLine="562" w:firstLineChars="200"/>
        <w:rPr>
          <w:rFonts w:ascii="楷体" w:hAnsi="楷体" w:eastAsia="楷体"/>
          <w:b/>
          <w:bCs/>
          <w:sz w:val="28"/>
          <w:szCs w:val="28"/>
        </w:rPr>
      </w:pPr>
      <w:bookmarkStart w:id="50" w:name="_Toc20513"/>
      <w:bookmarkStart w:id="51" w:name="_Toc32218"/>
      <w:bookmarkStart w:id="52" w:name="_Toc2980"/>
      <w:bookmarkStart w:id="53" w:name="_Toc546"/>
      <w:bookmarkStart w:id="54" w:name="_Toc29267"/>
      <w:r>
        <w:rPr>
          <w:rFonts w:hint="eastAsia" w:ascii="楷体" w:hAnsi="楷体" w:eastAsia="楷体"/>
          <w:b/>
          <w:bCs/>
          <w:sz w:val="28"/>
          <w:szCs w:val="28"/>
        </w:rPr>
        <w:t>4．本报告内容的范围和概况</w:t>
      </w:r>
      <w:bookmarkEnd w:id="50"/>
      <w:bookmarkEnd w:id="51"/>
      <w:bookmarkEnd w:id="52"/>
      <w:bookmarkEnd w:id="53"/>
      <w:bookmarkEnd w:id="54"/>
    </w:p>
    <w:p>
      <w:pPr>
        <w:ind w:firstLine="560" w:firstLineChars="200"/>
        <w:rPr>
          <w:rFonts w:ascii="楷体" w:hAnsi="楷体" w:eastAsia="楷体"/>
          <w:sz w:val="28"/>
          <w:szCs w:val="28"/>
        </w:rPr>
      </w:pPr>
      <w:r>
        <w:rPr>
          <w:rFonts w:hint="eastAsia" w:ascii="楷体" w:hAnsi="楷体" w:eastAsia="楷体"/>
          <w:sz w:val="28"/>
          <w:szCs w:val="28"/>
        </w:rPr>
        <w:t>本报告介绍了2020年国富期货有限公司积极承担经济、社会和环境责任方面的活动及表现。时间范围为2020年1月1日至2020年12月31日。</w:t>
      </w:r>
    </w:p>
    <w:p>
      <w:pPr>
        <w:ind w:firstLine="560" w:firstLineChars="200"/>
        <w:rPr>
          <w:rFonts w:ascii="楷体" w:hAnsi="楷体" w:eastAsia="楷体"/>
          <w:sz w:val="28"/>
          <w:szCs w:val="28"/>
        </w:rPr>
      </w:pPr>
      <w:r>
        <w:rPr>
          <w:rFonts w:hint="eastAsia" w:ascii="楷体" w:hAnsi="楷体" w:eastAsia="楷体"/>
          <w:sz w:val="28"/>
          <w:szCs w:val="28"/>
        </w:rPr>
        <w:t>本报告依据上海市期货同业公会发布的《上海期货公司社会责任报告编制框架指引》编制。本报告内容符合指引中的有关要求。</w:t>
      </w:r>
    </w:p>
    <w:p>
      <w:pPr>
        <w:ind w:firstLine="560" w:firstLineChars="200"/>
        <w:rPr>
          <w:rFonts w:ascii="楷体" w:hAnsi="楷体" w:eastAsia="楷体"/>
          <w:sz w:val="28"/>
          <w:szCs w:val="28"/>
        </w:rPr>
      </w:pPr>
      <w:r>
        <w:rPr>
          <w:rFonts w:hint="eastAsia" w:ascii="楷体" w:hAnsi="楷体" w:eastAsia="楷体"/>
          <w:sz w:val="28"/>
          <w:szCs w:val="28"/>
        </w:rPr>
        <w:t>如无特别说明，本报告的资料和数据均来源于国富期货有限公司，引用的数据为2020年经审计</w:t>
      </w:r>
      <w:r>
        <w:rPr>
          <w:rFonts w:ascii="楷体" w:hAnsi="楷体" w:eastAsia="楷体"/>
          <w:sz w:val="28"/>
          <w:szCs w:val="28"/>
        </w:rPr>
        <w:t>后的</w:t>
      </w:r>
      <w:r>
        <w:rPr>
          <w:rFonts w:hint="eastAsia" w:ascii="楷体" w:hAnsi="楷体" w:eastAsia="楷体"/>
          <w:sz w:val="28"/>
          <w:szCs w:val="28"/>
        </w:rPr>
        <w:t>数据。</w:t>
      </w:r>
    </w:p>
    <w:p>
      <w:pPr>
        <w:spacing w:line="720" w:lineRule="auto"/>
        <w:rPr>
          <w:rFonts w:ascii="楷体" w:hAnsi="楷体" w:eastAsia="楷体"/>
          <w:b/>
          <w:bCs/>
          <w:sz w:val="28"/>
          <w:szCs w:val="28"/>
        </w:rPr>
      </w:pPr>
      <w:bookmarkStart w:id="55" w:name="_Toc4136"/>
      <w:bookmarkStart w:id="56" w:name="_Toc21589"/>
      <w:bookmarkStart w:id="57" w:name="_Toc23877"/>
      <w:bookmarkStart w:id="58" w:name="_Toc28209"/>
      <w:bookmarkStart w:id="59" w:name="_Toc13394"/>
      <w:r>
        <w:rPr>
          <w:rFonts w:hint="eastAsia" w:ascii="楷体" w:hAnsi="楷体" w:eastAsia="楷体"/>
          <w:b/>
          <w:bCs/>
          <w:sz w:val="28"/>
          <w:szCs w:val="28"/>
        </w:rPr>
        <w:t>三</w:t>
      </w:r>
      <w:r>
        <w:rPr>
          <w:rFonts w:ascii="楷体" w:hAnsi="楷体" w:eastAsia="楷体"/>
          <w:b/>
          <w:bCs/>
          <w:sz w:val="28"/>
          <w:szCs w:val="28"/>
        </w:rPr>
        <w:t>、</w:t>
      </w:r>
      <w:r>
        <w:rPr>
          <w:rFonts w:hint="eastAsia" w:ascii="楷体" w:hAnsi="楷体" w:eastAsia="楷体"/>
          <w:b/>
          <w:bCs/>
          <w:sz w:val="28"/>
          <w:szCs w:val="28"/>
        </w:rPr>
        <w:t>公司治理结构与管理体制</w:t>
      </w:r>
      <w:bookmarkEnd w:id="55"/>
      <w:bookmarkEnd w:id="56"/>
      <w:bookmarkEnd w:id="57"/>
      <w:bookmarkEnd w:id="58"/>
      <w:bookmarkEnd w:id="59"/>
    </w:p>
    <w:p>
      <w:pPr>
        <w:pStyle w:val="10"/>
        <w:ind w:firstLine="562"/>
        <w:rPr>
          <w:b/>
          <w:bCs/>
        </w:rPr>
      </w:pPr>
      <w:bookmarkStart w:id="60" w:name="_Toc8952"/>
      <w:bookmarkStart w:id="61" w:name="_Toc2356"/>
      <w:bookmarkStart w:id="62" w:name="_Toc26901"/>
      <w:bookmarkStart w:id="63" w:name="_Toc19802"/>
      <w:r>
        <w:rPr>
          <w:rFonts w:hint="eastAsia"/>
          <w:b/>
          <w:bCs/>
        </w:rPr>
        <w:t>1. 股东权责</w:t>
      </w:r>
      <w:bookmarkEnd w:id="60"/>
      <w:bookmarkEnd w:id="61"/>
      <w:bookmarkEnd w:id="62"/>
      <w:bookmarkEnd w:id="63"/>
    </w:p>
    <w:p>
      <w:pPr>
        <w:ind w:firstLine="560" w:firstLineChars="200"/>
      </w:pPr>
      <w:r>
        <w:rPr>
          <w:rFonts w:hint="eastAsia" w:ascii="楷体" w:hAnsi="楷体" w:eastAsia="楷体"/>
          <w:sz w:val="28"/>
          <w:szCs w:val="28"/>
        </w:rPr>
        <w:t>国富期货的最高权力机构是股东会，由一名法人股东和三名自然人股东组成。各股东均严格依法行使出资人的权利，认真履行章程规定的对公司负有的各项义务，充分尊重公司的独立性，不干预公司日常管理活动，确保公司与其在业务、人员、资产、财务等方面相互独立，未出现任何利用关联交易、资金占用等方式损害公司合法权益的事项，也未利用股东地位等损害公司利益，影响公司稳健经营的情况。</w:t>
      </w:r>
    </w:p>
    <w:p>
      <w:pPr>
        <w:ind w:firstLine="562" w:firstLineChars="200"/>
        <w:rPr>
          <w:rFonts w:ascii="楷体" w:hAnsi="楷体" w:eastAsia="楷体"/>
          <w:b/>
          <w:bCs/>
          <w:sz w:val="28"/>
          <w:szCs w:val="28"/>
        </w:rPr>
      </w:pPr>
      <w:bookmarkStart w:id="64" w:name="_Toc22101"/>
      <w:bookmarkStart w:id="65" w:name="_Toc912"/>
      <w:bookmarkStart w:id="66" w:name="_Toc8673"/>
      <w:bookmarkStart w:id="67" w:name="_Toc14938"/>
      <w:bookmarkStart w:id="68" w:name="_Toc24985"/>
      <w:r>
        <w:rPr>
          <w:rFonts w:ascii="楷体" w:hAnsi="楷体" w:eastAsia="楷体"/>
          <w:b/>
          <w:bCs/>
          <w:sz w:val="28"/>
          <w:szCs w:val="28"/>
        </w:rPr>
        <w:t xml:space="preserve">2. </w:t>
      </w:r>
      <w:bookmarkEnd w:id="64"/>
      <w:r>
        <w:rPr>
          <w:rFonts w:hint="eastAsia" w:ascii="楷体" w:hAnsi="楷体" w:eastAsia="楷体"/>
          <w:b/>
          <w:bCs/>
          <w:sz w:val="28"/>
          <w:szCs w:val="28"/>
        </w:rPr>
        <w:t>董事会（董事）、监事、高级管理人员</w:t>
      </w:r>
      <w:bookmarkEnd w:id="65"/>
      <w:bookmarkEnd w:id="66"/>
      <w:bookmarkEnd w:id="67"/>
      <w:bookmarkEnd w:id="68"/>
    </w:p>
    <w:p>
      <w:pPr>
        <w:ind w:firstLine="560" w:firstLineChars="200"/>
        <w:rPr>
          <w:rFonts w:ascii="楷体" w:hAnsi="楷体" w:eastAsia="楷体"/>
          <w:sz w:val="28"/>
          <w:szCs w:val="28"/>
        </w:rPr>
      </w:pPr>
      <w:r>
        <w:rPr>
          <w:rFonts w:hint="eastAsia" w:ascii="楷体" w:hAnsi="楷体" w:eastAsia="楷体"/>
          <w:sz w:val="28"/>
          <w:szCs w:val="28"/>
        </w:rPr>
        <w:t xml:space="preserve">董事会为股东会的执行机构，根据股东会授权执行公司战略、监管公司经营的行为主体。公司董事会现任成员三人，其中董事长一人，董事两人。董事会严格按法律法规和公司章程规定，有效行使职权并履行义务，运作规范。本年度共召开董事会会议十次。 </w:t>
      </w:r>
    </w:p>
    <w:p>
      <w:pPr>
        <w:ind w:firstLine="560" w:firstLineChars="200"/>
        <w:rPr>
          <w:rFonts w:ascii="楷体" w:hAnsi="楷体" w:eastAsia="楷体"/>
          <w:sz w:val="28"/>
          <w:szCs w:val="28"/>
        </w:rPr>
      </w:pPr>
      <w:r>
        <w:rPr>
          <w:rFonts w:hint="eastAsia" w:ascii="楷体" w:hAnsi="楷体" w:eastAsia="楷体"/>
          <w:sz w:val="28"/>
          <w:szCs w:val="28"/>
        </w:rPr>
        <w:t>公司设监事一人，对股东会负责，对董事会及高级管理人员履职进行监督，保障股东权益、公司利益和员工合法权益不受侵犯。</w:t>
      </w:r>
    </w:p>
    <w:p>
      <w:pPr>
        <w:ind w:firstLine="560" w:firstLineChars="200"/>
        <w:rPr>
          <w:rFonts w:ascii="楷体" w:hAnsi="楷体" w:eastAsia="楷体"/>
          <w:sz w:val="28"/>
          <w:szCs w:val="28"/>
        </w:rPr>
      </w:pPr>
      <w:r>
        <w:rPr>
          <w:rFonts w:hint="eastAsia" w:ascii="楷体" w:hAnsi="楷体" w:eastAsia="楷体"/>
          <w:sz w:val="28"/>
          <w:szCs w:val="28"/>
        </w:rPr>
        <w:t>公司的高级管理人员包括一名总经理，两名副总经理，一名首席风险官，一名财务负责人以及三名分支机构负责人。公司高级管理人员均在遵守法律、行政法规和中国证监会的规定，遵守自律规则、行业规范和公司章程，恪守诚信，勤勉尽责，谨慎地在职权范围内行使职权，维护客户和公司的合法利益。</w:t>
      </w:r>
    </w:p>
    <w:p>
      <w:pPr>
        <w:ind w:firstLine="560" w:firstLineChars="200"/>
        <w:rPr>
          <w:rFonts w:ascii="楷体" w:hAnsi="楷体" w:eastAsia="楷体"/>
          <w:sz w:val="28"/>
          <w:szCs w:val="28"/>
        </w:rPr>
      </w:pPr>
      <w:r>
        <w:rPr>
          <w:rFonts w:hint="eastAsia" w:ascii="楷体" w:hAnsi="楷体" w:eastAsia="楷体"/>
          <w:sz w:val="28"/>
          <w:szCs w:val="28"/>
        </w:rPr>
        <w:t>公司组织架构清晰，业务分开，符合不相容分离原则。公司部门及岗位分工明确，权责清晰，确保了权利与责任的落实到位。</w:t>
      </w:r>
    </w:p>
    <w:p>
      <w:pPr>
        <w:jc w:val="center"/>
        <w:rPr>
          <w:rFonts w:ascii="楷体" w:hAnsi="楷体" w:eastAsia="楷体"/>
          <w:sz w:val="28"/>
          <w:szCs w:val="28"/>
        </w:rPr>
      </w:pPr>
      <w:r>
        <w:rPr>
          <w:rFonts w:hint="eastAsia" w:ascii="仿宋" w:hAnsi="仿宋" w:eastAsia="仿宋" w:cs="仿宋"/>
        </w:rPr>
        <w:drawing>
          <wp:inline distT="0" distB="0" distL="114300" distR="114300">
            <wp:extent cx="5272405" cy="3025775"/>
            <wp:effectExtent l="0" t="0" r="4445" b="3175"/>
            <wp:docPr id="6" name="图片 1" descr="1616720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616720755(1)"/>
                    <pic:cNvPicPr>
                      <a:picLocks noChangeAspect="1"/>
                    </pic:cNvPicPr>
                  </pic:nvPicPr>
                  <pic:blipFill>
                    <a:blip r:embed="rId13"/>
                    <a:stretch>
                      <a:fillRect/>
                    </a:stretch>
                  </pic:blipFill>
                  <pic:spPr>
                    <a:xfrm>
                      <a:off x="0" y="0"/>
                      <a:ext cx="5272405" cy="3025775"/>
                    </a:xfrm>
                    <a:prstGeom prst="rect">
                      <a:avLst/>
                    </a:prstGeom>
                    <a:noFill/>
                    <a:ln w="9525">
                      <a:noFill/>
                    </a:ln>
                  </pic:spPr>
                </pic:pic>
              </a:graphicData>
            </a:graphic>
          </wp:inline>
        </w:drawing>
      </w:r>
    </w:p>
    <w:p>
      <w:pPr>
        <w:ind w:firstLine="560" w:firstLineChars="200"/>
        <w:rPr>
          <w:rFonts w:ascii="楷体" w:hAnsi="楷体" w:eastAsia="楷体"/>
          <w:sz w:val="28"/>
          <w:szCs w:val="28"/>
        </w:rPr>
      </w:pPr>
      <w:r>
        <w:rPr>
          <w:rFonts w:hint="eastAsia" w:ascii="楷体" w:hAnsi="楷体" w:eastAsia="楷体"/>
          <w:sz w:val="28"/>
          <w:szCs w:val="28"/>
        </w:rPr>
        <w:t>公司严格按照现代企业制度的治理原则，依据《中华人民共和国公司法》、《期货交易管理条例》及《期货公司监督管理</w:t>
      </w:r>
      <w:r>
        <w:rPr>
          <w:rFonts w:ascii="楷体" w:hAnsi="楷体" w:eastAsia="楷体"/>
          <w:sz w:val="28"/>
          <w:szCs w:val="28"/>
        </w:rPr>
        <w:t>办法</w:t>
      </w:r>
      <w:r>
        <w:rPr>
          <w:rFonts w:hint="eastAsia" w:ascii="楷体" w:hAnsi="楷体" w:eastAsia="楷体"/>
          <w:sz w:val="28"/>
          <w:szCs w:val="28"/>
        </w:rPr>
        <w:t>》等法律法规和监管规定，努力完善公司法人治理结构，建立健全股东会、董事会、监事与管理层之间的制衡机制，促进公司依法规范、稳健高效的运营。</w:t>
      </w:r>
    </w:p>
    <w:p>
      <w:pPr>
        <w:ind w:firstLine="562" w:firstLineChars="200"/>
        <w:rPr>
          <w:rFonts w:ascii="楷体" w:hAnsi="楷体" w:eastAsia="楷体"/>
          <w:b/>
          <w:bCs/>
          <w:sz w:val="28"/>
          <w:szCs w:val="28"/>
        </w:rPr>
      </w:pPr>
      <w:bookmarkStart w:id="69" w:name="_Toc10174"/>
      <w:bookmarkStart w:id="70" w:name="_Toc14194"/>
      <w:bookmarkStart w:id="71" w:name="_Toc2979"/>
      <w:bookmarkStart w:id="72" w:name="_Toc16642"/>
      <w:bookmarkStart w:id="73" w:name="_Toc9857"/>
      <w:r>
        <w:rPr>
          <w:rFonts w:hint="eastAsia" w:ascii="楷体" w:hAnsi="楷体" w:eastAsia="楷体"/>
          <w:b/>
          <w:bCs/>
          <w:sz w:val="28"/>
          <w:szCs w:val="28"/>
        </w:rPr>
        <w:t>3.</w:t>
      </w:r>
      <w:bookmarkEnd w:id="69"/>
      <w:r>
        <w:rPr>
          <w:rFonts w:hint="eastAsia" w:ascii="楷体" w:hAnsi="楷体" w:eastAsia="楷体"/>
          <w:b/>
          <w:bCs/>
          <w:sz w:val="28"/>
          <w:szCs w:val="28"/>
        </w:rPr>
        <w:t>与经济、环境和社会业绩相关的政策及其实施情况</w:t>
      </w:r>
      <w:bookmarkEnd w:id="70"/>
      <w:bookmarkEnd w:id="71"/>
      <w:bookmarkEnd w:id="72"/>
      <w:bookmarkEnd w:id="73"/>
    </w:p>
    <w:p>
      <w:pPr>
        <w:ind w:firstLine="560" w:firstLineChars="200"/>
        <w:rPr>
          <w:rFonts w:ascii="楷体" w:hAnsi="楷体" w:eastAsia="楷体"/>
          <w:sz w:val="28"/>
          <w:szCs w:val="28"/>
        </w:rPr>
      </w:pPr>
      <w:r>
        <w:rPr>
          <w:rFonts w:hint="eastAsia" w:ascii="楷体" w:hAnsi="楷体" w:eastAsia="楷体"/>
          <w:sz w:val="28"/>
          <w:szCs w:val="28"/>
        </w:rPr>
        <w:t>2020年度，公司在管理层的领导下，积极履行社会经济责任，大力开展投资者教育工作，将其作为投资者合法权益保护的重要工作和内容之一，建立和完善了投资者教育的长效机制，结合我司实际情况，多层次、多形式地开展投资者教育工作。</w:t>
      </w:r>
    </w:p>
    <w:p>
      <w:pPr>
        <w:ind w:firstLine="560" w:firstLineChars="200"/>
        <w:rPr>
          <w:rFonts w:ascii="楷体" w:hAnsi="楷体" w:eastAsia="楷体"/>
          <w:sz w:val="28"/>
          <w:szCs w:val="28"/>
        </w:rPr>
      </w:pPr>
      <w:r>
        <w:rPr>
          <w:rFonts w:hint="eastAsia" w:ascii="楷体" w:hAnsi="楷体" w:eastAsia="楷体"/>
          <w:sz w:val="28"/>
          <w:szCs w:val="28"/>
        </w:rPr>
        <w:t>同时为了进一步贯彻落实反洗钱法律法规，公司在内部贯彻落实反洗钱工作管理要求，外部加强反洗钱宣传教育，使社会公众广泛知晓和了解反洗钱知识，夯实反洗钱工作的社会基础，提高公司信誉，促进公司业务的快速健康发展。</w:t>
      </w:r>
    </w:p>
    <w:p>
      <w:pPr>
        <w:ind w:firstLine="560" w:firstLineChars="200"/>
        <w:rPr>
          <w:rFonts w:ascii="楷体" w:hAnsi="楷体" w:eastAsia="楷体"/>
          <w:sz w:val="28"/>
          <w:szCs w:val="28"/>
        </w:rPr>
      </w:pPr>
      <w:r>
        <w:rPr>
          <w:rFonts w:hint="eastAsia" w:ascii="楷体" w:hAnsi="楷体" w:eastAsia="楷体"/>
          <w:sz w:val="28"/>
          <w:szCs w:val="28"/>
        </w:rPr>
        <w:t>公司注重内部规章制度的建设，在业务开展过程中始终坚持制度先行的原则，并把内部控制建设贯穿于公司经营发展过程中。2020年度，公司以规范经营、合规发展为经营理念,强化风险意识，根据经营环境的变化，结合不同发展阶段和业务拓展情况，持续、系统地识别、计量、监测和控制业务中的经营风险、财务风险、交易风险、技术风险、合规风险等，保持财务稳健并持续符合中国证监会规定的风险监管指标标准，确保客户的交易安全和资产安全，同时完善公司各项业务流程，促进公司安全、审慎、稳健经营。</w:t>
      </w:r>
    </w:p>
    <w:p>
      <w:pPr>
        <w:ind w:firstLine="562" w:firstLineChars="200"/>
        <w:rPr>
          <w:rFonts w:ascii="楷体" w:hAnsi="楷体" w:eastAsia="楷体"/>
          <w:b/>
          <w:bCs/>
          <w:sz w:val="28"/>
          <w:szCs w:val="28"/>
        </w:rPr>
      </w:pPr>
      <w:bookmarkStart w:id="74" w:name="_Toc11680"/>
      <w:bookmarkStart w:id="75" w:name="_Toc6810"/>
      <w:bookmarkStart w:id="76" w:name="_Toc30013"/>
      <w:bookmarkStart w:id="77" w:name="_Toc10977"/>
      <w:r>
        <w:rPr>
          <w:rFonts w:hint="eastAsia" w:ascii="楷体" w:hAnsi="楷体" w:eastAsia="楷体"/>
          <w:b/>
          <w:bCs/>
          <w:sz w:val="28"/>
          <w:szCs w:val="28"/>
        </w:rPr>
        <w:t>4.利益相关者参与</w:t>
      </w:r>
      <w:bookmarkEnd w:id="74"/>
      <w:bookmarkEnd w:id="75"/>
      <w:bookmarkEnd w:id="76"/>
      <w:bookmarkEnd w:id="77"/>
    </w:p>
    <w:p>
      <w:pPr>
        <w:ind w:firstLine="560" w:firstLineChars="200"/>
        <w:rPr>
          <w:rFonts w:ascii="楷体" w:hAnsi="楷体" w:eastAsia="楷体"/>
          <w:sz w:val="28"/>
          <w:szCs w:val="28"/>
        </w:rPr>
      </w:pPr>
      <w:r>
        <w:rPr>
          <w:rFonts w:hint="eastAsia" w:ascii="楷体" w:hAnsi="楷体" w:eastAsia="楷体"/>
          <w:sz w:val="28"/>
          <w:szCs w:val="28"/>
        </w:rPr>
        <w:t>国富期货充分利用股东给予的自我运作和自我发挥的空间，从战略定位、制度设计、团队搭建、经营管理、业务开拓、奖励激励等方面多管齐下，积极开拓市场，大胆探索新模式，在稳健发展的基础上勇于创新，努力提高企业素质和竞争力，让公司的体制机制的市场化程度能够应对市场化的要求。</w:t>
      </w:r>
    </w:p>
    <w:p>
      <w:pPr>
        <w:ind w:firstLine="562" w:firstLineChars="200"/>
        <w:rPr>
          <w:rFonts w:ascii="楷体" w:hAnsi="楷体" w:eastAsia="楷体"/>
          <w:b/>
          <w:bCs/>
          <w:sz w:val="28"/>
          <w:szCs w:val="28"/>
        </w:rPr>
      </w:pPr>
      <w:bookmarkStart w:id="78" w:name="_Toc10766"/>
      <w:bookmarkStart w:id="79" w:name="_Toc2475"/>
      <w:bookmarkStart w:id="80" w:name="_Toc32171"/>
      <w:bookmarkStart w:id="81" w:name="_Toc6433"/>
      <w:r>
        <w:rPr>
          <w:rFonts w:hint="eastAsia" w:ascii="楷体" w:hAnsi="楷体" w:eastAsia="楷体"/>
          <w:b/>
          <w:bCs/>
          <w:sz w:val="28"/>
          <w:szCs w:val="28"/>
        </w:rPr>
        <w:t>5.履行经济、环境和社会责任的计划与步骤</w:t>
      </w:r>
      <w:bookmarkEnd w:id="78"/>
      <w:bookmarkEnd w:id="79"/>
      <w:bookmarkEnd w:id="80"/>
      <w:bookmarkEnd w:id="81"/>
    </w:p>
    <w:p>
      <w:pPr>
        <w:ind w:firstLine="560" w:firstLineChars="200"/>
        <w:rPr>
          <w:rFonts w:ascii="楷体" w:hAnsi="楷体" w:eastAsia="楷体"/>
          <w:sz w:val="28"/>
          <w:szCs w:val="28"/>
        </w:rPr>
      </w:pPr>
      <w:r>
        <w:rPr>
          <w:rFonts w:hint="eastAsia" w:ascii="楷体" w:hAnsi="楷体" w:eastAsia="楷体"/>
          <w:sz w:val="28"/>
          <w:szCs w:val="28"/>
        </w:rPr>
        <w:t>随着期货市场的不断发展，国富期货将根据客户的需求提供个性化的特色产品，在产品化服务中进一步发现客户更多更深层次的需求，继而推出以满足各类客户需求为导向的一站式基础服务。</w:t>
      </w:r>
    </w:p>
    <w:p>
      <w:pPr>
        <w:ind w:firstLine="560" w:firstLineChars="200"/>
        <w:rPr>
          <w:rFonts w:ascii="楷体" w:hAnsi="楷体" w:eastAsia="楷体"/>
          <w:sz w:val="28"/>
          <w:szCs w:val="28"/>
        </w:rPr>
      </w:pPr>
      <w:r>
        <w:rPr>
          <w:rFonts w:hint="eastAsia" w:ascii="楷体" w:hAnsi="楷体" w:eastAsia="楷体"/>
          <w:sz w:val="28"/>
          <w:szCs w:val="28"/>
        </w:rPr>
        <w:t>国富期货将在进一步加强领导班子队伍建设的基础上，多渠道为公司业务和管理各方面筹备人才，积极建设公司发展所需的人才队伍。国富期货将继续推行合规与业务并进，通过多元化的渗透方式，以合规保障业务发展并反过来以业务发展增强公司抗风险能力提升合规效能。另外，国富期货还将在节能降耗、绿色办公、改善工作环境方面做出应有的贡献。</w:t>
      </w:r>
    </w:p>
    <w:p>
      <w:pPr>
        <w:ind w:firstLine="562" w:firstLineChars="200"/>
        <w:rPr>
          <w:rFonts w:ascii="楷体" w:hAnsi="楷体" w:eastAsia="楷体"/>
          <w:b/>
          <w:bCs/>
          <w:sz w:val="28"/>
          <w:szCs w:val="28"/>
        </w:rPr>
      </w:pPr>
      <w:bookmarkStart w:id="82" w:name="_Toc25024"/>
      <w:bookmarkStart w:id="83" w:name="_Toc21521"/>
      <w:bookmarkStart w:id="84" w:name="_Toc19306"/>
      <w:bookmarkStart w:id="85" w:name="_Toc14849"/>
      <w:r>
        <w:rPr>
          <w:rFonts w:hint="eastAsia" w:ascii="楷体" w:hAnsi="楷体" w:eastAsia="楷体"/>
          <w:b/>
          <w:bCs/>
          <w:sz w:val="28"/>
          <w:szCs w:val="28"/>
        </w:rPr>
        <w:t>6.取得经济、环境和社会管理体系有关的具有公信力的认证状况</w:t>
      </w:r>
      <w:bookmarkEnd w:id="82"/>
      <w:bookmarkEnd w:id="83"/>
      <w:bookmarkEnd w:id="84"/>
      <w:bookmarkEnd w:id="85"/>
    </w:p>
    <w:p>
      <w:pPr>
        <w:ind w:firstLine="560" w:firstLineChars="200"/>
        <w:rPr>
          <w:rFonts w:ascii="楷体" w:hAnsi="楷体" w:eastAsia="楷体"/>
          <w:sz w:val="28"/>
          <w:szCs w:val="28"/>
        </w:rPr>
      </w:pPr>
      <w:r>
        <w:rPr>
          <w:rFonts w:hint="eastAsia" w:ascii="楷体" w:hAnsi="楷体" w:eastAsia="楷体"/>
          <w:sz w:val="28"/>
          <w:szCs w:val="28"/>
        </w:rPr>
        <w:t>2020年度，国富期货合规诚信经营、综合业绩突出，社会各界对于我司所做的各方面工作给予了极大地肯定，荣膺多个奖项。公司本年度获得如的主要奖项有：大连商品交易所2020年度优秀会员金奖、优秀机构服务奖；中国金融期货交易所2020年度优秀会员金奖；郑州商品交易所2020年度市场成长优秀会员奖、品种服务优秀会员奖（玻璃）、品种服务优秀营业部奖（国富期货有限公司杭州营业部）等。</w:t>
      </w:r>
    </w:p>
    <w:p>
      <w:pPr>
        <w:numPr>
          <w:ilvl w:val="0"/>
          <w:numId w:val="1"/>
        </w:numPr>
        <w:spacing w:line="720" w:lineRule="auto"/>
        <w:rPr>
          <w:rFonts w:ascii="楷体" w:hAnsi="楷体" w:eastAsia="楷体"/>
          <w:b/>
          <w:bCs/>
          <w:sz w:val="28"/>
          <w:szCs w:val="28"/>
        </w:rPr>
      </w:pPr>
      <w:bookmarkStart w:id="86" w:name="_Toc8834"/>
      <w:bookmarkStart w:id="87" w:name="_Toc9288"/>
      <w:bookmarkStart w:id="88" w:name="_Toc31653"/>
      <w:bookmarkStart w:id="89" w:name="_Toc30508"/>
      <w:bookmarkStart w:id="90" w:name="_Toc20882"/>
      <w:r>
        <w:rPr>
          <w:rFonts w:hint="eastAsia" w:ascii="楷体" w:hAnsi="楷体" w:eastAsia="楷体"/>
          <w:b/>
          <w:bCs/>
          <w:sz w:val="28"/>
          <w:szCs w:val="28"/>
        </w:rPr>
        <w:t>经济责任与业绩</w:t>
      </w:r>
      <w:bookmarkEnd w:id="86"/>
      <w:bookmarkEnd w:id="87"/>
      <w:bookmarkEnd w:id="88"/>
      <w:bookmarkEnd w:id="89"/>
      <w:bookmarkEnd w:id="90"/>
    </w:p>
    <w:p>
      <w:pPr>
        <w:ind w:firstLine="560" w:firstLineChars="200"/>
        <w:rPr>
          <w:rFonts w:ascii="楷体" w:hAnsi="楷体" w:eastAsia="楷体"/>
          <w:sz w:val="28"/>
          <w:szCs w:val="28"/>
        </w:rPr>
      </w:pPr>
      <w:r>
        <w:rPr>
          <w:rFonts w:hint="eastAsia" w:ascii="楷体" w:hAnsi="楷体" w:eastAsia="楷体"/>
          <w:sz w:val="28"/>
          <w:szCs w:val="28"/>
        </w:rPr>
        <w:t>经济责任是企业社会责任的核心，而经济责任的核心是公司创造利润、实现价值的能力。承担社会责任意味着企业要将经营利润在公司主体与提供社会支持之间进行再分配，而企业的获利情况则决定了其提供社会支持能力的高低，经营业绩的好坏直接决定了企业可以承担的社会责任层次和社会支持效果。</w:t>
      </w:r>
    </w:p>
    <w:p>
      <w:pPr>
        <w:ind w:firstLine="562" w:firstLineChars="200"/>
        <w:rPr>
          <w:rFonts w:ascii="楷体" w:hAnsi="楷体" w:eastAsia="楷体"/>
          <w:b/>
          <w:bCs/>
          <w:sz w:val="28"/>
          <w:szCs w:val="28"/>
        </w:rPr>
      </w:pPr>
      <w:bookmarkStart w:id="91" w:name="_Toc4340"/>
      <w:bookmarkStart w:id="92" w:name="_Toc29411"/>
      <w:bookmarkStart w:id="93" w:name="_Toc30483"/>
      <w:bookmarkStart w:id="94" w:name="_Toc9489"/>
      <w:bookmarkStart w:id="95" w:name="_Toc5063"/>
      <w:r>
        <w:rPr>
          <w:rFonts w:hint="eastAsia" w:ascii="楷体" w:hAnsi="楷体" w:eastAsia="楷体"/>
          <w:b/>
          <w:bCs/>
          <w:sz w:val="28"/>
          <w:szCs w:val="28"/>
        </w:rPr>
        <w:t>1．公司经济发展大事记</w:t>
      </w:r>
      <w:bookmarkEnd w:id="91"/>
      <w:bookmarkEnd w:id="92"/>
      <w:bookmarkEnd w:id="93"/>
      <w:bookmarkEnd w:id="94"/>
      <w:bookmarkEnd w:id="95"/>
    </w:p>
    <w:p>
      <w:pPr>
        <w:ind w:firstLine="560" w:firstLineChars="200"/>
        <w:rPr>
          <w:rFonts w:ascii="楷体" w:hAnsi="楷体" w:eastAsia="楷体"/>
          <w:sz w:val="28"/>
          <w:szCs w:val="28"/>
        </w:rPr>
      </w:pPr>
      <w:r>
        <w:rPr>
          <w:rFonts w:hint="eastAsia" w:ascii="楷体" w:hAnsi="楷体" w:eastAsia="楷体"/>
          <w:sz w:val="28"/>
          <w:szCs w:val="28"/>
        </w:rPr>
        <w:t>（1）2020年7月22日，青岛分公司于2020年7月22日终止并注销登记。</w:t>
      </w:r>
    </w:p>
    <w:p>
      <w:pPr>
        <w:ind w:firstLine="560" w:firstLineChars="200"/>
        <w:rPr>
          <w:rFonts w:ascii="楷体" w:hAnsi="楷体" w:eastAsia="楷体"/>
          <w:sz w:val="28"/>
          <w:szCs w:val="28"/>
        </w:rPr>
      </w:pPr>
      <w:r>
        <w:rPr>
          <w:rFonts w:hint="eastAsia" w:ascii="楷体" w:hAnsi="楷体" w:eastAsia="楷体"/>
          <w:sz w:val="28"/>
          <w:szCs w:val="28"/>
        </w:rPr>
        <w:t>（2）2020年7月22日</w:t>
      </w:r>
      <w:r>
        <w:rPr>
          <w:rFonts w:ascii="楷体" w:hAnsi="楷体" w:eastAsia="楷体"/>
          <w:sz w:val="28"/>
          <w:szCs w:val="28"/>
        </w:rPr>
        <w:t>，公司</w:t>
      </w:r>
      <w:r>
        <w:rPr>
          <w:rFonts w:hint="eastAsia" w:ascii="楷体" w:hAnsi="楷体" w:eastAsia="楷体"/>
          <w:sz w:val="28"/>
          <w:szCs w:val="28"/>
        </w:rPr>
        <w:t>获得深圳证券交易所《关于同意国富期货有限公司成为深圳证券交易所股票期权交易参与人的复函》（深证函[2020]613号）批准，成为该所的股票期权交易参与人。</w:t>
      </w:r>
    </w:p>
    <w:p>
      <w:pPr>
        <w:numPr>
          <w:ilvl w:val="0"/>
          <w:numId w:val="2"/>
        </w:numPr>
        <w:ind w:firstLine="560" w:firstLineChars="200"/>
        <w:rPr>
          <w:rFonts w:ascii="楷体" w:hAnsi="楷体" w:eastAsia="楷体"/>
          <w:sz w:val="28"/>
          <w:szCs w:val="28"/>
        </w:rPr>
      </w:pPr>
      <w:r>
        <w:rPr>
          <w:rFonts w:hint="eastAsia" w:ascii="楷体" w:hAnsi="楷体" w:eastAsia="楷体"/>
          <w:sz w:val="28"/>
          <w:szCs w:val="28"/>
        </w:rPr>
        <w:t>2020年9月28日，南京分公司变更分公司负责人为张蕾。</w:t>
      </w:r>
    </w:p>
    <w:p>
      <w:pPr>
        <w:ind w:firstLine="560" w:firstLineChars="200"/>
        <w:rPr>
          <w:rFonts w:ascii="楷体" w:hAnsi="楷体" w:eastAsia="楷体"/>
          <w:sz w:val="28"/>
          <w:szCs w:val="28"/>
        </w:rPr>
      </w:pPr>
      <w:r>
        <w:rPr>
          <w:rFonts w:hint="eastAsia" w:ascii="楷体" w:hAnsi="楷体" w:eastAsia="楷体"/>
          <w:sz w:val="28"/>
          <w:szCs w:val="28"/>
        </w:rPr>
        <w:t>（4）2020年11月24日，公司在上海市浦东新区注册设立的全资子公司国富裕宸（上海）商贸有限公司获中国期货业协会《关于国富裕宸（上海）商贸有限公司设立予以备案的通知》（中期协备字[2020]18号），正式成为公司的风险管理子公司。</w:t>
      </w:r>
    </w:p>
    <w:p>
      <w:pPr>
        <w:ind w:firstLine="560" w:firstLineChars="200"/>
        <w:rPr>
          <w:rFonts w:ascii="楷体" w:hAnsi="楷体" w:eastAsia="楷体"/>
          <w:sz w:val="28"/>
          <w:szCs w:val="28"/>
        </w:rPr>
      </w:pPr>
      <w:r>
        <w:rPr>
          <w:rFonts w:hint="eastAsia" w:ascii="楷体" w:hAnsi="楷体" w:eastAsia="楷体"/>
          <w:sz w:val="28"/>
          <w:szCs w:val="28"/>
        </w:rPr>
        <w:t>（5）2020年12月31日，公司的风险管理子公司国富裕宸（上海）商贸有限公司申请的仓单服务、基差贸易两项试点业务正式通过中国期货业协会备案，成功取得仓单服务和基差贸易两项试点业务资格。</w:t>
      </w:r>
    </w:p>
    <w:p>
      <w:pPr>
        <w:ind w:firstLine="562" w:firstLineChars="200"/>
        <w:rPr>
          <w:rFonts w:ascii="楷体" w:hAnsi="楷体" w:eastAsia="楷体"/>
          <w:b/>
          <w:bCs/>
          <w:sz w:val="28"/>
          <w:szCs w:val="28"/>
        </w:rPr>
      </w:pPr>
      <w:bookmarkStart w:id="96" w:name="_Toc12202"/>
      <w:bookmarkStart w:id="97" w:name="_Toc3137"/>
      <w:bookmarkStart w:id="98" w:name="_Toc24619"/>
      <w:bookmarkStart w:id="99" w:name="_Toc5579"/>
      <w:bookmarkStart w:id="100" w:name="_Toc7627"/>
      <w:r>
        <w:rPr>
          <w:rFonts w:hint="eastAsia" w:ascii="楷体" w:hAnsi="楷体" w:eastAsia="楷体"/>
          <w:b/>
          <w:bCs/>
          <w:sz w:val="28"/>
          <w:szCs w:val="28"/>
        </w:rPr>
        <w:t xml:space="preserve">2. </w:t>
      </w:r>
      <w:bookmarkEnd w:id="96"/>
      <w:r>
        <w:rPr>
          <w:rFonts w:hint="eastAsia" w:ascii="楷体" w:hAnsi="楷体" w:eastAsia="楷体"/>
          <w:b/>
          <w:bCs/>
          <w:sz w:val="28"/>
          <w:szCs w:val="28"/>
        </w:rPr>
        <w:t>业务指标及风险监管指标</w:t>
      </w:r>
      <w:bookmarkEnd w:id="97"/>
      <w:bookmarkEnd w:id="98"/>
      <w:bookmarkEnd w:id="99"/>
      <w:bookmarkEnd w:id="100"/>
    </w:p>
    <w:p>
      <w:pPr>
        <w:ind w:firstLine="560" w:firstLineChars="200"/>
        <w:rPr>
          <w:rFonts w:ascii="楷体" w:hAnsi="楷体" w:eastAsia="楷体"/>
          <w:sz w:val="28"/>
          <w:szCs w:val="28"/>
        </w:rPr>
      </w:pPr>
      <w:bookmarkStart w:id="101" w:name="_Toc4047"/>
      <w:r>
        <w:rPr>
          <w:rFonts w:hint="eastAsia" w:ascii="楷体" w:hAnsi="楷体" w:eastAsia="楷体"/>
          <w:sz w:val="28"/>
          <w:szCs w:val="28"/>
        </w:rPr>
        <w:t>（1）业绩指标</w:t>
      </w:r>
    </w:p>
    <w:p>
      <w:pPr>
        <w:ind w:firstLine="560" w:firstLineChars="200"/>
        <w:rPr>
          <w:rFonts w:ascii="楷体" w:hAnsi="楷体" w:eastAsia="楷体"/>
          <w:sz w:val="28"/>
          <w:szCs w:val="28"/>
        </w:rPr>
      </w:pPr>
      <w:r>
        <w:rPr>
          <w:rFonts w:hint="eastAsia" w:ascii="楷体" w:hAnsi="楷体" w:eastAsia="楷体"/>
          <w:sz w:val="28"/>
          <w:szCs w:val="28"/>
        </w:rPr>
        <w:t>2020年度，公司紧抓市场机遇，不断拓展新业务和新客户，在金融机构业务和产业客户上均取得了突破，公司客户权益规模和成交量都得到了大幅度的提升。截至2020年末，客户权益总额62.47亿元，比去年增长53%，经纪业务代理交易量34,757.94万手，比去年增长149.15%；代理成交金额223,645.57亿元，比去年增长132.93%。</w:t>
      </w:r>
      <w:r>
        <w:rPr>
          <w:rFonts w:hint="eastAsia" w:ascii="楷体" w:hAnsi="楷体" w:eastAsia="楷体"/>
          <w:sz w:val="28"/>
          <w:szCs w:val="28"/>
        </w:rPr>
        <w:cr/>
      </w:r>
      <w:r>
        <w:rPr>
          <w:rFonts w:ascii="楷体" w:hAnsi="楷体" w:eastAsia="楷体"/>
          <w:sz w:val="28"/>
          <w:szCs w:val="28"/>
        </w:rPr>
        <w:t xml:space="preserve">     </w:t>
      </w:r>
      <w:r>
        <w:rPr>
          <w:rFonts w:hint="eastAsia" w:ascii="楷体" w:hAnsi="楷体" w:eastAsia="楷体"/>
          <w:sz w:val="28"/>
          <w:szCs w:val="28"/>
        </w:rPr>
        <w:t>2020年度，公司实现营业收入19,614.00万元，其中</w:t>
      </w:r>
      <w:r>
        <w:rPr>
          <w:rFonts w:ascii="楷体" w:hAnsi="楷体" w:eastAsia="楷体"/>
          <w:sz w:val="28"/>
          <w:szCs w:val="28"/>
        </w:rPr>
        <w:t>手续费收入</w:t>
      </w:r>
      <w:r>
        <w:rPr>
          <w:rFonts w:hint="eastAsia" w:ascii="楷体" w:hAnsi="楷体" w:eastAsia="楷体"/>
          <w:sz w:val="28"/>
          <w:szCs w:val="28"/>
        </w:rPr>
        <w:t>13,434.50万</w:t>
      </w:r>
      <w:r>
        <w:rPr>
          <w:rFonts w:ascii="楷体" w:hAnsi="楷体" w:eastAsia="楷体"/>
          <w:sz w:val="28"/>
          <w:szCs w:val="28"/>
        </w:rPr>
        <w:t>元，</w:t>
      </w:r>
      <w:r>
        <w:rPr>
          <w:rFonts w:hint="eastAsia" w:ascii="楷体" w:hAnsi="楷体" w:eastAsia="楷体"/>
          <w:sz w:val="28"/>
          <w:szCs w:val="28"/>
        </w:rPr>
        <w:t>营业支出16,916.51万元,营业利润2,697.49万元，利润总额2,629.96万元，公司实现净利润1,828.85万元。</w:t>
      </w:r>
      <w:r>
        <w:rPr>
          <w:rFonts w:hint="eastAsia" w:ascii="楷体" w:hAnsi="楷体" w:eastAsia="楷体"/>
          <w:sz w:val="28"/>
          <w:szCs w:val="28"/>
        </w:rPr>
        <w:cr/>
      </w:r>
      <w:r>
        <w:rPr>
          <w:rFonts w:ascii="楷体" w:hAnsi="楷体" w:eastAsia="楷体"/>
          <w:sz w:val="28"/>
          <w:szCs w:val="28"/>
        </w:rPr>
        <w:t xml:space="preserve">    </w:t>
      </w:r>
      <w:r>
        <w:rPr>
          <w:rFonts w:hint="eastAsia" w:ascii="楷体" w:hAnsi="楷体" w:eastAsia="楷体"/>
          <w:sz w:val="28"/>
          <w:szCs w:val="28"/>
        </w:rPr>
        <w:t>（2）风险监管指标</w:t>
      </w:r>
      <w:r>
        <w:rPr>
          <w:rFonts w:hint="eastAsia" w:ascii="楷体" w:hAnsi="楷体" w:eastAsia="楷体"/>
          <w:sz w:val="28"/>
          <w:szCs w:val="28"/>
        </w:rPr>
        <w:cr/>
      </w:r>
      <w:r>
        <w:rPr>
          <w:rFonts w:ascii="楷体" w:hAnsi="楷体" w:eastAsia="楷体"/>
          <w:sz w:val="28"/>
          <w:szCs w:val="28"/>
        </w:rPr>
        <w:t xml:space="preserve">    </w:t>
      </w:r>
      <w:r>
        <w:rPr>
          <w:rFonts w:hint="eastAsia" w:ascii="楷体" w:hAnsi="楷体" w:eastAsia="楷体"/>
          <w:sz w:val="28"/>
          <w:szCs w:val="28"/>
        </w:rPr>
        <w:t>2020年末，国富期货净资本29,579.48万元，净资本与风险资本准备总额的比例为174%，净资本</w:t>
      </w:r>
      <w:r>
        <w:rPr>
          <w:rFonts w:ascii="楷体" w:hAnsi="楷体" w:eastAsia="楷体"/>
          <w:sz w:val="28"/>
          <w:szCs w:val="28"/>
        </w:rPr>
        <w:t>与净资产的比例为</w:t>
      </w:r>
      <w:r>
        <w:rPr>
          <w:rFonts w:hint="eastAsia" w:ascii="楷体" w:hAnsi="楷体" w:eastAsia="楷体"/>
          <w:sz w:val="28"/>
          <w:szCs w:val="28"/>
        </w:rPr>
        <w:t>72</w:t>
      </w:r>
      <w:r>
        <w:rPr>
          <w:rFonts w:ascii="楷体" w:hAnsi="楷体" w:eastAsia="楷体"/>
          <w:sz w:val="28"/>
          <w:szCs w:val="28"/>
        </w:rPr>
        <w:t>%，流动资产与流动负债的比例为</w:t>
      </w:r>
      <w:r>
        <w:rPr>
          <w:rFonts w:hint="eastAsia" w:ascii="楷体" w:hAnsi="楷体" w:eastAsia="楷体"/>
          <w:sz w:val="28"/>
          <w:szCs w:val="28"/>
        </w:rPr>
        <w:t>352</w:t>
      </w:r>
      <w:r>
        <w:rPr>
          <w:rFonts w:ascii="楷体" w:hAnsi="楷体" w:eastAsia="楷体"/>
          <w:sz w:val="28"/>
          <w:szCs w:val="28"/>
        </w:rPr>
        <w:t>%，负债与净资产的比例为</w:t>
      </w:r>
      <w:r>
        <w:rPr>
          <w:rFonts w:hint="eastAsia" w:ascii="楷体" w:hAnsi="楷体" w:eastAsia="楷体"/>
          <w:sz w:val="28"/>
          <w:szCs w:val="28"/>
        </w:rPr>
        <w:t>28</w:t>
      </w:r>
      <w:r>
        <w:rPr>
          <w:rFonts w:ascii="楷体" w:hAnsi="楷体" w:eastAsia="楷体"/>
          <w:sz w:val="28"/>
          <w:szCs w:val="28"/>
        </w:rPr>
        <w:t>%，结算准备金额为</w:t>
      </w:r>
      <w:r>
        <w:rPr>
          <w:rFonts w:hint="eastAsia" w:ascii="楷体" w:hAnsi="楷体" w:eastAsia="楷体"/>
          <w:sz w:val="28"/>
          <w:szCs w:val="28"/>
        </w:rPr>
        <w:t>17,438.21万元，各项</w:t>
      </w:r>
      <w:r>
        <w:rPr>
          <w:rFonts w:ascii="楷体" w:hAnsi="楷体" w:eastAsia="楷体"/>
          <w:sz w:val="28"/>
          <w:szCs w:val="28"/>
        </w:rPr>
        <w:t>风险监管指标均符合监管标准。</w:t>
      </w:r>
    </w:p>
    <w:p>
      <w:pPr>
        <w:ind w:firstLine="562" w:firstLineChars="200"/>
        <w:rPr>
          <w:rFonts w:ascii="楷体" w:hAnsi="楷体" w:eastAsia="楷体"/>
          <w:b/>
          <w:bCs/>
          <w:sz w:val="28"/>
          <w:szCs w:val="28"/>
        </w:rPr>
      </w:pPr>
      <w:bookmarkStart w:id="102" w:name="_Toc391"/>
      <w:bookmarkStart w:id="103" w:name="_Toc2718"/>
      <w:bookmarkStart w:id="104" w:name="_Toc16780"/>
      <w:bookmarkStart w:id="105" w:name="_Toc12765"/>
      <w:r>
        <w:rPr>
          <w:rFonts w:hint="eastAsia" w:ascii="楷体" w:hAnsi="楷体" w:eastAsia="楷体"/>
          <w:b/>
          <w:bCs/>
          <w:sz w:val="28"/>
          <w:szCs w:val="28"/>
        </w:rPr>
        <w:t>3. 对利益相关者的利益分配</w:t>
      </w:r>
      <w:bookmarkEnd w:id="101"/>
      <w:bookmarkEnd w:id="102"/>
      <w:bookmarkEnd w:id="103"/>
      <w:bookmarkEnd w:id="104"/>
      <w:bookmarkEnd w:id="105"/>
    </w:p>
    <w:p>
      <w:pPr>
        <w:ind w:firstLine="560" w:firstLineChars="200"/>
        <w:rPr>
          <w:rFonts w:ascii="楷体" w:hAnsi="楷体" w:eastAsia="楷体"/>
          <w:sz w:val="28"/>
          <w:szCs w:val="28"/>
        </w:rPr>
      </w:pPr>
      <w:r>
        <w:rPr>
          <w:rFonts w:hint="eastAsia" w:ascii="楷体" w:hAnsi="楷体" w:eastAsia="楷体"/>
          <w:sz w:val="28"/>
          <w:szCs w:val="28"/>
        </w:rPr>
        <w:t>公司遵循稳定收益分配原则、利于公司生存发展原则、公平分配原则，股东与员工利益协调原则此四项原则制定利益分配制度。</w:t>
      </w:r>
    </w:p>
    <w:p>
      <w:pPr>
        <w:ind w:firstLine="560" w:firstLineChars="200"/>
        <w:rPr>
          <w:rFonts w:ascii="楷体" w:hAnsi="楷体" w:eastAsia="楷体"/>
          <w:sz w:val="28"/>
          <w:szCs w:val="28"/>
        </w:rPr>
      </w:pPr>
      <w:r>
        <w:rPr>
          <w:rFonts w:hint="eastAsia" w:ascii="楷体" w:hAnsi="楷体" w:eastAsia="楷体"/>
          <w:sz w:val="28"/>
          <w:szCs w:val="28"/>
        </w:rPr>
        <w:t>（1）争创业绩回报股东</w:t>
      </w:r>
    </w:p>
    <w:p>
      <w:pPr>
        <w:ind w:firstLine="560" w:firstLineChars="200"/>
        <w:rPr>
          <w:rFonts w:ascii="楷体" w:hAnsi="楷体" w:eastAsia="楷体"/>
          <w:sz w:val="28"/>
          <w:szCs w:val="28"/>
        </w:rPr>
      </w:pPr>
      <w:r>
        <w:rPr>
          <w:rFonts w:hint="eastAsia" w:ascii="楷体" w:hAnsi="楷体" w:eastAsia="楷体"/>
          <w:sz w:val="28"/>
          <w:szCs w:val="28"/>
        </w:rPr>
        <w:t>公司2020年实现净利润1,828.85万元。</w:t>
      </w:r>
      <w:r>
        <w:rPr>
          <w:rFonts w:ascii="楷体" w:hAnsi="楷体" w:eastAsia="楷体"/>
          <w:sz w:val="28"/>
          <w:szCs w:val="28"/>
        </w:rPr>
        <w:t>截止</w:t>
      </w:r>
      <w:r>
        <w:rPr>
          <w:rFonts w:hint="eastAsia" w:ascii="楷体" w:hAnsi="楷体" w:eastAsia="楷体"/>
          <w:sz w:val="28"/>
          <w:szCs w:val="28"/>
        </w:rPr>
        <w:t>至2020年12月31日公司未分配利润3,234.84万元</w:t>
      </w:r>
      <w:r>
        <w:rPr>
          <w:rFonts w:ascii="楷体" w:hAnsi="楷体" w:eastAsia="楷体"/>
          <w:sz w:val="28"/>
          <w:szCs w:val="28"/>
        </w:rPr>
        <w:t>。</w:t>
      </w:r>
    </w:p>
    <w:p>
      <w:pPr>
        <w:ind w:firstLine="560" w:firstLineChars="200"/>
        <w:rPr>
          <w:rFonts w:ascii="楷体" w:hAnsi="楷体" w:eastAsia="楷体"/>
          <w:sz w:val="28"/>
          <w:szCs w:val="28"/>
        </w:rPr>
      </w:pPr>
      <w:r>
        <w:rPr>
          <w:rFonts w:hint="eastAsia" w:ascii="楷体" w:hAnsi="楷体" w:eastAsia="楷体"/>
          <w:sz w:val="28"/>
          <w:szCs w:val="28"/>
        </w:rPr>
        <w:t>（2）提供良好的员工薪酬福利</w:t>
      </w:r>
    </w:p>
    <w:p>
      <w:pPr>
        <w:ind w:firstLine="560" w:firstLineChars="200"/>
        <w:rPr>
          <w:rFonts w:ascii="楷体" w:hAnsi="楷体" w:eastAsia="楷体"/>
          <w:sz w:val="28"/>
          <w:szCs w:val="28"/>
        </w:rPr>
      </w:pPr>
      <w:r>
        <w:rPr>
          <w:rFonts w:hint="eastAsia" w:ascii="楷体" w:hAnsi="楷体" w:eastAsia="楷体"/>
          <w:sz w:val="28"/>
          <w:szCs w:val="28"/>
        </w:rPr>
        <w:t>为了吸引更多优秀人才，促进公司业务创新转型发展，公司建立了具有内部公平性和外部竞争力的薪酬制度以及</w:t>
      </w:r>
      <w:r>
        <w:rPr>
          <w:rFonts w:ascii="楷体" w:hAnsi="楷体" w:eastAsia="楷体"/>
          <w:sz w:val="28"/>
          <w:szCs w:val="28"/>
        </w:rPr>
        <w:t>完善的员工福利保障体系</w:t>
      </w:r>
      <w:r>
        <w:rPr>
          <w:rFonts w:hint="eastAsia" w:ascii="楷体" w:hAnsi="楷体" w:eastAsia="楷体"/>
          <w:sz w:val="28"/>
          <w:szCs w:val="28"/>
        </w:rPr>
        <w:t>，充分发挥薪酬机制的激励与约束作用，</w:t>
      </w:r>
      <w:r>
        <w:rPr>
          <w:rFonts w:ascii="楷体" w:hAnsi="楷体" w:eastAsia="楷体"/>
          <w:sz w:val="28"/>
          <w:szCs w:val="28"/>
        </w:rPr>
        <w:t>体现按劳分配原则的基础上，实现以价值贡献为导向的分配机制，使公司员工可以</w:t>
      </w:r>
      <w:r>
        <w:rPr>
          <w:rFonts w:hint="eastAsia" w:ascii="楷体" w:hAnsi="楷体" w:eastAsia="楷体"/>
          <w:sz w:val="28"/>
          <w:szCs w:val="28"/>
        </w:rPr>
        <w:t>共享</w:t>
      </w:r>
      <w:r>
        <w:rPr>
          <w:rFonts w:ascii="楷体" w:hAnsi="楷体" w:eastAsia="楷体"/>
          <w:sz w:val="28"/>
          <w:szCs w:val="28"/>
        </w:rPr>
        <w:t>公司发展成果</w:t>
      </w:r>
      <w:r>
        <w:rPr>
          <w:rFonts w:hint="eastAsia" w:ascii="楷体" w:hAnsi="楷体" w:eastAsia="楷体"/>
          <w:sz w:val="28"/>
          <w:szCs w:val="28"/>
        </w:rPr>
        <w:t>。</w:t>
      </w:r>
    </w:p>
    <w:p>
      <w:pPr>
        <w:ind w:firstLine="560" w:firstLineChars="200"/>
        <w:rPr>
          <w:rFonts w:ascii="楷体" w:hAnsi="楷体" w:eastAsia="楷体"/>
          <w:sz w:val="28"/>
          <w:szCs w:val="28"/>
        </w:rPr>
      </w:pPr>
      <w:r>
        <w:rPr>
          <w:rFonts w:hint="eastAsia" w:ascii="楷体" w:hAnsi="楷体" w:eastAsia="楷体"/>
          <w:sz w:val="28"/>
          <w:szCs w:val="28"/>
        </w:rPr>
        <w:t>（3）提高服务质量，提升客户满意度</w:t>
      </w:r>
    </w:p>
    <w:p>
      <w:pPr>
        <w:ind w:firstLine="560" w:firstLineChars="200"/>
        <w:rPr>
          <w:rFonts w:ascii="楷体" w:hAnsi="楷体" w:eastAsia="楷体"/>
          <w:sz w:val="28"/>
          <w:szCs w:val="28"/>
        </w:rPr>
      </w:pPr>
      <w:r>
        <w:rPr>
          <w:rFonts w:hint="eastAsia" w:ascii="楷体" w:hAnsi="楷体" w:eastAsia="楷体"/>
          <w:sz w:val="28"/>
          <w:szCs w:val="28"/>
        </w:rPr>
        <w:t>本年度公司开展了多场投资者教育活动，通过多样化的投资者教育与优质高效的客户服务，吸引新客户，维护老客户，带领新老客户一起与中国期货市场共同成长。同时公司积极探索互联网线上服务方式，通过微信</w:t>
      </w:r>
      <w:r>
        <w:rPr>
          <w:rFonts w:ascii="楷体" w:hAnsi="楷体" w:eastAsia="楷体"/>
          <w:sz w:val="28"/>
          <w:szCs w:val="28"/>
        </w:rPr>
        <w:t>公众号等多种</w:t>
      </w:r>
      <w:r>
        <w:rPr>
          <w:rFonts w:hint="eastAsia" w:ascii="楷体" w:hAnsi="楷体" w:eastAsia="楷体"/>
          <w:sz w:val="28"/>
          <w:szCs w:val="28"/>
        </w:rPr>
        <w:t>途径</w:t>
      </w:r>
      <w:r>
        <w:rPr>
          <w:rFonts w:ascii="楷体" w:hAnsi="楷体" w:eastAsia="楷体"/>
          <w:sz w:val="28"/>
          <w:szCs w:val="28"/>
        </w:rPr>
        <w:t>提高服务质量与服务效率</w:t>
      </w:r>
      <w:r>
        <w:rPr>
          <w:rFonts w:hint="eastAsia" w:ascii="楷体" w:hAnsi="楷体" w:eastAsia="楷体"/>
          <w:sz w:val="28"/>
          <w:szCs w:val="28"/>
        </w:rPr>
        <w:t>，便捷</w:t>
      </w:r>
      <w:r>
        <w:rPr>
          <w:rFonts w:ascii="楷体" w:hAnsi="楷体" w:eastAsia="楷体"/>
          <w:sz w:val="28"/>
          <w:szCs w:val="28"/>
        </w:rPr>
        <w:t>客户操作</w:t>
      </w:r>
      <w:r>
        <w:rPr>
          <w:rFonts w:hint="eastAsia" w:ascii="楷体" w:hAnsi="楷体" w:eastAsia="楷体"/>
          <w:sz w:val="28"/>
          <w:szCs w:val="28"/>
        </w:rPr>
        <w:t>，提升</w:t>
      </w:r>
      <w:r>
        <w:rPr>
          <w:rFonts w:ascii="楷体" w:hAnsi="楷体" w:eastAsia="楷体"/>
          <w:sz w:val="28"/>
          <w:szCs w:val="28"/>
        </w:rPr>
        <w:t>客户满意度</w:t>
      </w:r>
      <w:r>
        <w:rPr>
          <w:rFonts w:hint="eastAsia" w:ascii="楷体" w:hAnsi="楷体" w:eastAsia="楷体"/>
          <w:sz w:val="28"/>
          <w:szCs w:val="28"/>
        </w:rPr>
        <w:t>。</w:t>
      </w:r>
    </w:p>
    <w:p>
      <w:pPr>
        <w:ind w:firstLine="560" w:firstLineChars="200"/>
        <w:rPr>
          <w:rFonts w:ascii="楷体" w:hAnsi="楷体" w:eastAsia="楷体"/>
          <w:sz w:val="28"/>
          <w:szCs w:val="28"/>
        </w:rPr>
      </w:pPr>
      <w:r>
        <w:rPr>
          <w:rFonts w:hint="eastAsia" w:ascii="楷体" w:hAnsi="楷体" w:eastAsia="楷体"/>
          <w:sz w:val="28"/>
          <w:szCs w:val="28"/>
        </w:rPr>
        <w:t>（4） 依法纳税，树立良好企业公民形象</w:t>
      </w:r>
    </w:p>
    <w:p>
      <w:pPr>
        <w:ind w:firstLine="560" w:firstLineChars="200"/>
        <w:rPr>
          <w:rFonts w:ascii="楷体" w:hAnsi="楷体" w:eastAsia="楷体"/>
          <w:sz w:val="28"/>
          <w:szCs w:val="28"/>
        </w:rPr>
      </w:pPr>
      <w:r>
        <w:rPr>
          <w:rFonts w:hint="eastAsia" w:ascii="楷体" w:hAnsi="楷体" w:eastAsia="楷体"/>
          <w:sz w:val="28"/>
          <w:szCs w:val="28"/>
        </w:rPr>
        <w:t>依法纳税是每个企业应尽的义务，也是承担社会责任的重要方面。公司作为独立的纳税主体，一直高度重视内部税务管理工作，强化各级人员依法纳税意识，不断提高纳税实务水平，严格按照税法规定及时、准确计算、申报和缴纳各项应缴税金，自成立以来树立并保持了良好的诚信纳税形象。</w:t>
      </w:r>
    </w:p>
    <w:p>
      <w:pPr>
        <w:ind w:firstLine="562" w:firstLineChars="200"/>
        <w:rPr>
          <w:rFonts w:ascii="楷体" w:hAnsi="楷体" w:eastAsia="楷体"/>
          <w:b/>
          <w:bCs/>
          <w:sz w:val="28"/>
          <w:szCs w:val="28"/>
        </w:rPr>
      </w:pPr>
      <w:bookmarkStart w:id="106" w:name="_Toc2832"/>
      <w:bookmarkStart w:id="107" w:name="_Toc9015"/>
      <w:bookmarkStart w:id="108" w:name="_Toc12837"/>
      <w:bookmarkStart w:id="109" w:name="_Toc15642"/>
      <w:r>
        <w:rPr>
          <w:rFonts w:hint="eastAsia" w:ascii="楷体" w:hAnsi="楷体" w:eastAsia="楷体"/>
          <w:b/>
          <w:bCs/>
          <w:sz w:val="28"/>
          <w:szCs w:val="28"/>
        </w:rPr>
        <w:t>4.研究开发的投入及成果</w:t>
      </w:r>
      <w:bookmarkEnd w:id="106"/>
      <w:bookmarkEnd w:id="107"/>
      <w:bookmarkEnd w:id="108"/>
      <w:bookmarkEnd w:id="109"/>
    </w:p>
    <w:p>
      <w:pPr>
        <w:ind w:firstLine="560" w:firstLineChars="200"/>
        <w:rPr>
          <w:rFonts w:ascii="楷体" w:hAnsi="楷体" w:eastAsia="楷体"/>
          <w:sz w:val="28"/>
          <w:szCs w:val="28"/>
        </w:rPr>
      </w:pPr>
      <w:r>
        <w:rPr>
          <w:rFonts w:hint="eastAsia" w:ascii="楷体" w:hAnsi="楷体" w:eastAsia="楷体"/>
          <w:sz w:val="28"/>
          <w:szCs w:val="28"/>
        </w:rPr>
        <w:t>国富期货自2018年开始组建研究团队，主要聚焦于</w:t>
      </w:r>
      <w:r>
        <w:rPr>
          <w:rFonts w:ascii="楷体" w:hAnsi="楷体" w:eastAsia="楷体"/>
          <w:sz w:val="28"/>
          <w:szCs w:val="28"/>
        </w:rPr>
        <w:t>油脂油料</w:t>
      </w:r>
      <w:r>
        <w:rPr>
          <w:rFonts w:hint="eastAsia" w:ascii="楷体" w:hAnsi="楷体" w:eastAsia="楷体"/>
          <w:sz w:val="28"/>
          <w:szCs w:val="28"/>
        </w:rPr>
        <w:t>领域，为</w:t>
      </w:r>
      <w:r>
        <w:rPr>
          <w:rFonts w:ascii="楷体" w:hAnsi="楷体" w:eastAsia="楷体"/>
          <w:sz w:val="28"/>
          <w:szCs w:val="28"/>
        </w:rPr>
        <w:t>上述产业链</w:t>
      </w:r>
      <w:r>
        <w:rPr>
          <w:rFonts w:hint="eastAsia" w:ascii="楷体" w:hAnsi="楷体" w:eastAsia="楷体"/>
          <w:sz w:val="28"/>
          <w:szCs w:val="28"/>
        </w:rPr>
        <w:t>上</w:t>
      </w:r>
      <w:r>
        <w:rPr>
          <w:rFonts w:ascii="楷体" w:hAnsi="楷体" w:eastAsia="楷体"/>
          <w:sz w:val="28"/>
          <w:szCs w:val="28"/>
        </w:rPr>
        <w:t>的</w:t>
      </w:r>
      <w:r>
        <w:rPr>
          <w:rFonts w:hint="eastAsia" w:ascii="楷体" w:hAnsi="楷体" w:eastAsia="楷体"/>
          <w:sz w:val="28"/>
          <w:szCs w:val="28"/>
        </w:rPr>
        <w:t>产业</w:t>
      </w:r>
      <w:r>
        <w:rPr>
          <w:rFonts w:ascii="楷体" w:hAnsi="楷体" w:eastAsia="楷体"/>
          <w:sz w:val="28"/>
          <w:szCs w:val="28"/>
        </w:rPr>
        <w:t>客户提供</w:t>
      </w:r>
      <w:r>
        <w:rPr>
          <w:rFonts w:hint="eastAsia" w:ascii="楷体" w:hAnsi="楷体" w:eastAsia="楷体"/>
          <w:sz w:val="28"/>
          <w:szCs w:val="28"/>
        </w:rPr>
        <w:t>投研</w:t>
      </w:r>
      <w:r>
        <w:rPr>
          <w:rFonts w:ascii="楷体" w:hAnsi="楷体" w:eastAsia="楷体"/>
          <w:sz w:val="28"/>
          <w:szCs w:val="28"/>
        </w:rPr>
        <w:t>服务。</w:t>
      </w:r>
      <w:r>
        <w:rPr>
          <w:rFonts w:hint="eastAsia" w:ascii="楷体" w:hAnsi="楷体" w:eastAsia="楷体"/>
          <w:sz w:val="28"/>
          <w:szCs w:val="28"/>
        </w:rPr>
        <w:t>目前</w:t>
      </w:r>
      <w:r>
        <w:rPr>
          <w:rFonts w:ascii="楷体" w:hAnsi="楷体" w:eastAsia="楷体"/>
          <w:sz w:val="28"/>
          <w:szCs w:val="28"/>
        </w:rPr>
        <w:t>，</w:t>
      </w:r>
      <w:r>
        <w:rPr>
          <w:rFonts w:hint="eastAsia" w:ascii="楷体" w:hAnsi="楷体" w:eastAsia="楷体"/>
          <w:sz w:val="28"/>
          <w:szCs w:val="28"/>
        </w:rPr>
        <w:t>公司服务客户对象已覆盖国内外棕榈油龙头企业，包括“益海嘉里”、“AAA集团”在华企业“新实力食品科技有限公司”等多家棕榈油跨国企业的主期货经纪商。同时，公司积极协助“春金（新加坡）”向大连商品交易所申请棕榈油交割库。此外，公司与国际四大粮商之一邦基集团的合作业务正不断深化。公司协助其向交易所办理豆一、豆油、豆粕的交割库申请工作。</w:t>
      </w:r>
    </w:p>
    <w:p>
      <w:pPr>
        <w:ind w:firstLine="560" w:firstLineChars="200"/>
        <w:rPr>
          <w:rFonts w:ascii="楷体" w:hAnsi="楷体" w:eastAsia="楷体"/>
          <w:sz w:val="28"/>
          <w:szCs w:val="28"/>
        </w:rPr>
      </w:pPr>
      <w:r>
        <w:rPr>
          <w:rFonts w:hint="eastAsia" w:ascii="楷体" w:hAnsi="楷体" w:eastAsia="楷体"/>
          <w:sz w:val="28"/>
          <w:szCs w:val="28"/>
        </w:rPr>
        <w:t>未来，公司将坚定服务产业客户的方向，以点带面，以粮油条线重要产业客户为突破，逐步覆盖农产品、</w:t>
      </w:r>
      <w:r>
        <w:rPr>
          <w:rFonts w:ascii="楷体" w:hAnsi="楷体" w:eastAsia="楷体"/>
          <w:sz w:val="28"/>
          <w:szCs w:val="28"/>
        </w:rPr>
        <w:t>生猪</w:t>
      </w:r>
      <w:r>
        <w:rPr>
          <w:rFonts w:hint="eastAsia" w:ascii="楷体" w:hAnsi="楷体" w:eastAsia="楷体"/>
          <w:sz w:val="28"/>
          <w:szCs w:val="28"/>
        </w:rPr>
        <w:t>、燃料油等领域，逐步建立起拥有专业特色的产研服务平台。</w:t>
      </w:r>
    </w:p>
    <w:p>
      <w:pPr>
        <w:ind w:firstLine="562" w:firstLineChars="200"/>
        <w:rPr>
          <w:rFonts w:ascii="楷体" w:hAnsi="楷体" w:eastAsia="楷体"/>
          <w:b/>
          <w:bCs/>
          <w:sz w:val="28"/>
          <w:szCs w:val="28"/>
        </w:rPr>
      </w:pPr>
      <w:bookmarkStart w:id="110" w:name="_Toc13438"/>
      <w:bookmarkStart w:id="111" w:name="_Toc14695"/>
      <w:bookmarkStart w:id="112" w:name="_Toc19132"/>
      <w:bookmarkStart w:id="113" w:name="_Toc17063"/>
      <w:r>
        <w:rPr>
          <w:rFonts w:hint="eastAsia" w:ascii="楷体" w:hAnsi="楷体" w:eastAsia="楷体"/>
          <w:b/>
          <w:bCs/>
          <w:sz w:val="28"/>
          <w:szCs w:val="28"/>
        </w:rPr>
        <w:t>5.固定资产投资及评估</w:t>
      </w:r>
      <w:bookmarkEnd w:id="110"/>
      <w:bookmarkEnd w:id="111"/>
      <w:bookmarkEnd w:id="112"/>
      <w:bookmarkEnd w:id="113"/>
    </w:p>
    <w:p>
      <w:pPr>
        <w:ind w:firstLine="560" w:firstLineChars="200"/>
        <w:rPr>
          <w:rFonts w:ascii="楷体" w:hAnsi="楷体" w:eastAsia="楷体"/>
          <w:sz w:val="28"/>
          <w:szCs w:val="28"/>
        </w:rPr>
      </w:pPr>
      <w:r>
        <w:rPr>
          <w:rFonts w:hint="eastAsia" w:ascii="楷体" w:hAnsi="楷体" w:eastAsia="楷体"/>
          <w:sz w:val="28"/>
          <w:szCs w:val="28"/>
        </w:rPr>
        <w:t>公司固定资产投资</w:t>
      </w:r>
      <w:r>
        <w:rPr>
          <w:rFonts w:ascii="楷体" w:hAnsi="楷体" w:eastAsia="楷体"/>
          <w:sz w:val="28"/>
          <w:szCs w:val="28"/>
        </w:rPr>
        <w:t>主要用于</w:t>
      </w:r>
      <w:r>
        <w:rPr>
          <w:rFonts w:hint="eastAsia" w:ascii="楷体" w:hAnsi="楷体" w:eastAsia="楷体"/>
          <w:sz w:val="28"/>
          <w:szCs w:val="28"/>
        </w:rPr>
        <w:t>采购信息技术设备及电脑和办公设备等，截至2020年末，公司</w:t>
      </w:r>
      <w:r>
        <w:rPr>
          <w:rFonts w:ascii="楷体" w:hAnsi="楷体" w:eastAsia="楷体"/>
          <w:sz w:val="28"/>
          <w:szCs w:val="28"/>
        </w:rPr>
        <w:t>账面固定资产</w:t>
      </w:r>
      <w:r>
        <w:rPr>
          <w:rFonts w:hint="eastAsia" w:ascii="楷体" w:hAnsi="楷体" w:eastAsia="楷体"/>
          <w:sz w:val="28"/>
          <w:szCs w:val="28"/>
        </w:rPr>
        <w:t>总额共1,129.02万元。期末不存在固定资产置换、抵押、担保和封存等情况，也无融资租入固定资产。</w:t>
      </w:r>
    </w:p>
    <w:p>
      <w:pPr>
        <w:ind w:firstLine="560" w:firstLineChars="200"/>
        <w:rPr>
          <w:rFonts w:ascii="楷体" w:hAnsi="楷体" w:eastAsia="楷体"/>
          <w:sz w:val="28"/>
          <w:szCs w:val="28"/>
        </w:rPr>
      </w:pPr>
      <w:r>
        <w:rPr>
          <w:rFonts w:hint="eastAsia" w:ascii="楷体" w:hAnsi="楷体" w:eastAsia="楷体"/>
          <w:sz w:val="28"/>
          <w:szCs w:val="28"/>
        </w:rPr>
        <w:t>公司按照</w:t>
      </w:r>
      <w:r>
        <w:rPr>
          <w:rFonts w:ascii="楷体" w:hAnsi="楷体" w:eastAsia="楷体"/>
          <w:sz w:val="28"/>
          <w:szCs w:val="28"/>
        </w:rPr>
        <w:t>内控制度要求</w:t>
      </w:r>
      <w:r>
        <w:rPr>
          <w:rFonts w:hint="eastAsia" w:ascii="楷体" w:hAnsi="楷体" w:eastAsia="楷体"/>
          <w:sz w:val="28"/>
          <w:szCs w:val="28"/>
        </w:rPr>
        <w:t>履行</w:t>
      </w:r>
      <w:r>
        <w:rPr>
          <w:rFonts w:ascii="楷体" w:hAnsi="楷体" w:eastAsia="楷体"/>
          <w:sz w:val="28"/>
          <w:szCs w:val="28"/>
        </w:rPr>
        <w:t>固定资产的采购</w:t>
      </w:r>
      <w:r>
        <w:rPr>
          <w:rFonts w:hint="eastAsia" w:ascii="楷体" w:hAnsi="楷体" w:eastAsia="楷体"/>
          <w:sz w:val="28"/>
          <w:szCs w:val="28"/>
        </w:rPr>
        <w:t>流程</w:t>
      </w:r>
      <w:r>
        <w:rPr>
          <w:rFonts w:ascii="楷体" w:hAnsi="楷体" w:eastAsia="楷体"/>
          <w:sz w:val="28"/>
          <w:szCs w:val="28"/>
        </w:rPr>
        <w:t>，定期或不定期的对</w:t>
      </w:r>
      <w:r>
        <w:rPr>
          <w:rFonts w:hint="eastAsia" w:ascii="楷体" w:hAnsi="楷体" w:eastAsia="楷体"/>
          <w:sz w:val="28"/>
          <w:szCs w:val="28"/>
        </w:rPr>
        <w:t>固定</w:t>
      </w:r>
      <w:r>
        <w:rPr>
          <w:rFonts w:ascii="楷体" w:hAnsi="楷体" w:eastAsia="楷体"/>
          <w:sz w:val="28"/>
          <w:szCs w:val="28"/>
        </w:rPr>
        <w:t>资产进行盘点、</w:t>
      </w:r>
      <w:r>
        <w:rPr>
          <w:rFonts w:hint="eastAsia" w:ascii="楷体" w:hAnsi="楷体" w:eastAsia="楷体"/>
          <w:sz w:val="28"/>
          <w:szCs w:val="28"/>
        </w:rPr>
        <w:t>清</w:t>
      </w:r>
      <w:r>
        <w:rPr>
          <w:rFonts w:ascii="楷体" w:hAnsi="楷体" w:eastAsia="楷体"/>
          <w:sz w:val="28"/>
          <w:szCs w:val="28"/>
        </w:rPr>
        <w:t>查，</w:t>
      </w:r>
      <w:r>
        <w:rPr>
          <w:rFonts w:hint="eastAsia" w:ascii="楷体" w:hAnsi="楷体" w:eastAsia="楷体"/>
          <w:sz w:val="28"/>
          <w:szCs w:val="28"/>
        </w:rPr>
        <w:t>加强对固定资产的盘盈、</w:t>
      </w:r>
      <w:r>
        <w:rPr>
          <w:rFonts w:ascii="楷体" w:hAnsi="楷体" w:eastAsia="楷体"/>
          <w:sz w:val="28"/>
          <w:szCs w:val="28"/>
        </w:rPr>
        <w:t>盘亏、报废</w:t>
      </w:r>
      <w:r>
        <w:rPr>
          <w:rFonts w:hint="eastAsia" w:ascii="楷体" w:hAnsi="楷体" w:eastAsia="楷体"/>
          <w:sz w:val="28"/>
          <w:szCs w:val="28"/>
        </w:rPr>
        <w:t>、</w:t>
      </w:r>
      <w:r>
        <w:rPr>
          <w:rFonts w:ascii="楷体" w:hAnsi="楷体" w:eastAsia="楷体"/>
          <w:sz w:val="28"/>
          <w:szCs w:val="28"/>
        </w:rPr>
        <w:t>毁损</w:t>
      </w:r>
      <w:r>
        <w:rPr>
          <w:rFonts w:hint="eastAsia" w:ascii="楷体" w:hAnsi="楷体" w:eastAsia="楷体"/>
          <w:sz w:val="28"/>
          <w:szCs w:val="28"/>
        </w:rPr>
        <w:t>等</w:t>
      </w:r>
      <w:r>
        <w:rPr>
          <w:rFonts w:ascii="楷体" w:hAnsi="楷体" w:eastAsia="楷体"/>
          <w:sz w:val="28"/>
          <w:szCs w:val="28"/>
        </w:rPr>
        <w:t>情况的</w:t>
      </w:r>
      <w:r>
        <w:rPr>
          <w:rFonts w:hint="eastAsia" w:ascii="楷体" w:hAnsi="楷体" w:eastAsia="楷体"/>
          <w:sz w:val="28"/>
          <w:szCs w:val="28"/>
        </w:rPr>
        <w:t>评估与分析，确保固定资产的真实和安全，减少损失和浪费，符合节能环保、高效节约的原则。</w:t>
      </w:r>
    </w:p>
    <w:p>
      <w:pPr>
        <w:spacing w:line="720" w:lineRule="auto"/>
        <w:rPr>
          <w:rFonts w:ascii="楷体" w:hAnsi="楷体" w:eastAsia="楷体"/>
          <w:b/>
          <w:bCs/>
          <w:sz w:val="28"/>
          <w:szCs w:val="28"/>
        </w:rPr>
      </w:pPr>
      <w:bookmarkStart w:id="114" w:name="_Toc27320"/>
      <w:bookmarkStart w:id="115" w:name="_Toc21841"/>
      <w:bookmarkStart w:id="116" w:name="_Toc14606"/>
      <w:bookmarkStart w:id="117" w:name="_Toc15136"/>
      <w:bookmarkStart w:id="118" w:name="_Toc31091"/>
      <w:r>
        <w:rPr>
          <w:rFonts w:hint="eastAsia" w:ascii="楷体" w:hAnsi="楷体" w:eastAsia="楷体"/>
          <w:b/>
          <w:bCs/>
          <w:sz w:val="28"/>
          <w:szCs w:val="28"/>
        </w:rPr>
        <w:t>五</w:t>
      </w:r>
      <w:r>
        <w:rPr>
          <w:rFonts w:ascii="楷体" w:hAnsi="楷体" w:eastAsia="楷体"/>
          <w:b/>
          <w:bCs/>
          <w:sz w:val="28"/>
          <w:szCs w:val="28"/>
        </w:rPr>
        <w:t>、</w:t>
      </w:r>
      <w:r>
        <w:rPr>
          <w:rFonts w:hint="eastAsia" w:ascii="楷体" w:hAnsi="楷体" w:eastAsia="楷体"/>
          <w:b/>
          <w:bCs/>
          <w:sz w:val="28"/>
          <w:szCs w:val="28"/>
        </w:rPr>
        <w:t>社会责任与业绩</w:t>
      </w:r>
      <w:bookmarkEnd w:id="114"/>
      <w:bookmarkEnd w:id="115"/>
      <w:bookmarkEnd w:id="116"/>
      <w:bookmarkEnd w:id="117"/>
      <w:bookmarkEnd w:id="118"/>
    </w:p>
    <w:p>
      <w:pPr>
        <w:ind w:firstLine="562" w:firstLineChars="200"/>
        <w:rPr>
          <w:rFonts w:ascii="楷体" w:hAnsi="楷体" w:eastAsia="楷体"/>
          <w:b/>
          <w:bCs/>
          <w:sz w:val="28"/>
          <w:szCs w:val="28"/>
        </w:rPr>
      </w:pPr>
      <w:bookmarkStart w:id="119" w:name="_Toc24669"/>
      <w:bookmarkStart w:id="120" w:name="_Toc10258"/>
      <w:bookmarkStart w:id="121" w:name="_Toc21068"/>
      <w:bookmarkStart w:id="122" w:name="_Toc11593"/>
      <w:bookmarkStart w:id="123" w:name="_Toc3336"/>
      <w:r>
        <w:rPr>
          <w:rFonts w:hint="eastAsia" w:ascii="楷体" w:hAnsi="楷体" w:eastAsia="楷体"/>
          <w:b/>
          <w:bCs/>
          <w:sz w:val="28"/>
          <w:szCs w:val="28"/>
        </w:rPr>
        <w:t>1. 公司社会责任大事记</w:t>
      </w:r>
      <w:bookmarkEnd w:id="119"/>
      <w:bookmarkEnd w:id="120"/>
      <w:bookmarkEnd w:id="121"/>
      <w:bookmarkEnd w:id="122"/>
      <w:bookmarkEnd w:id="123"/>
    </w:p>
    <w:p>
      <w:pPr>
        <w:ind w:firstLine="560" w:firstLineChars="200"/>
        <w:jc w:val="left"/>
        <w:rPr>
          <w:rFonts w:ascii="楷体_GB2312" w:eastAsia="楷体_GB2312"/>
          <w:sz w:val="28"/>
          <w:szCs w:val="28"/>
        </w:rPr>
      </w:pPr>
      <w:r>
        <w:rPr>
          <w:rFonts w:hint="eastAsia" w:ascii="楷体" w:hAnsi="楷体" w:eastAsia="楷体"/>
          <w:sz w:val="28"/>
          <w:szCs w:val="28"/>
        </w:rPr>
        <w:t>实体经济是一国经济的立身之本，在新的历史条件下，党中央、国务院高度重视实体经济发展，并就金融支持实体经济发展作出了一系列战略部署。在中国证监会以及中国期货业协会大力引导和号召下，国富期货</w:t>
      </w:r>
      <w:r>
        <w:rPr>
          <w:rFonts w:ascii="楷体" w:hAnsi="楷体" w:eastAsia="楷体"/>
          <w:sz w:val="28"/>
          <w:szCs w:val="28"/>
        </w:rPr>
        <w:t>有限公司</w:t>
      </w:r>
      <w:r>
        <w:rPr>
          <w:rFonts w:hint="eastAsia" w:ascii="楷体" w:hAnsi="楷体" w:eastAsia="楷体"/>
          <w:sz w:val="28"/>
          <w:szCs w:val="28"/>
        </w:rPr>
        <w:t>积极履行社会责任，</w:t>
      </w:r>
      <w:r>
        <w:rPr>
          <w:rFonts w:ascii="楷体_GB2312" w:eastAsia="楷体_GB2312"/>
          <w:sz w:val="28"/>
          <w:szCs w:val="28"/>
        </w:rPr>
        <w:t>开展扶贫工作，</w:t>
      </w:r>
      <w:r>
        <w:rPr>
          <w:rFonts w:hint="eastAsia" w:ascii="楷体_GB2312" w:eastAsia="楷体_GB2312"/>
          <w:sz w:val="28"/>
          <w:szCs w:val="28"/>
        </w:rPr>
        <w:t>分别与青海省玛沁县、云南省景谷傣族彝族自治县、云南省孟连傣族拉祜族佤族自治县、河南省桐柏县、广西壮族自治区环江毛南族自治县、广西壮族自治区三江侗族自治县独峒镇共计6个国家级贫困地区达成结对帮扶，与上述县政府或镇政府分别签订了《扶贫合作框架协议》、《扶贫合作备忘录》等，共计</w:t>
      </w:r>
      <w:r>
        <w:rPr>
          <w:rFonts w:ascii="楷体_GB2312" w:eastAsia="楷体_GB2312"/>
          <w:sz w:val="28"/>
          <w:szCs w:val="28"/>
        </w:rPr>
        <w:t>签约帮扶合同数量</w:t>
      </w:r>
      <w:r>
        <w:rPr>
          <w:rFonts w:hint="eastAsia" w:ascii="楷体_GB2312" w:eastAsia="楷体_GB2312"/>
          <w:sz w:val="28"/>
          <w:szCs w:val="28"/>
        </w:rPr>
        <w:t>数十</w:t>
      </w:r>
      <w:r>
        <w:rPr>
          <w:rFonts w:ascii="楷体_GB2312" w:eastAsia="楷体_GB2312"/>
          <w:sz w:val="28"/>
          <w:szCs w:val="28"/>
        </w:rPr>
        <w:t>份</w:t>
      </w:r>
      <w:r>
        <w:rPr>
          <w:rFonts w:hint="eastAsia" w:ascii="楷体_GB2312" w:eastAsia="楷体_GB2312"/>
          <w:sz w:val="28"/>
          <w:szCs w:val="28"/>
        </w:rPr>
        <w:t>，2020年度累计投入扶贫金额</w:t>
      </w:r>
      <w:r>
        <w:rPr>
          <w:rFonts w:hint="eastAsia" w:ascii="楷体_GB2312" w:eastAsia="楷体_GB2312"/>
          <w:sz w:val="28"/>
          <w:szCs w:val="28"/>
          <w:lang w:val="en-US" w:eastAsia="zh-CN"/>
        </w:rPr>
        <w:t>64.58</w:t>
      </w:r>
      <w:r>
        <w:rPr>
          <w:rFonts w:hint="eastAsia" w:ascii="楷体_GB2312" w:eastAsia="楷体_GB2312"/>
          <w:sz w:val="28"/>
          <w:szCs w:val="28"/>
        </w:rPr>
        <w:t>万元以改善民生，支持贫困地区基础设施和基本公共服务建设，助力巩固脱贫攻坚成果。</w:t>
      </w:r>
    </w:p>
    <w:p>
      <w:pPr>
        <w:ind w:firstLine="560" w:firstLineChars="200"/>
        <w:jc w:val="left"/>
        <w:rPr>
          <w:rFonts w:ascii="楷体_GB2312" w:eastAsia="楷体_GB2312"/>
          <w:sz w:val="28"/>
          <w:szCs w:val="28"/>
        </w:rPr>
      </w:pPr>
      <w:r>
        <w:rPr>
          <w:rFonts w:hint="eastAsia" w:ascii="楷体_GB2312" w:eastAsia="楷体_GB2312"/>
          <w:sz w:val="28"/>
          <w:szCs w:val="28"/>
        </w:rPr>
        <w:t>在扶贫过程中，国富期货也始终把提高脱贫质量放在首位，注重帮扶的长期效果。一方面，国富期货将扶贫资金用于支持搭建当地农特产品销售电子平台，助力当地贫困农户拓宽农特产品销售渠道，增加农特产品销量，实现稳定增收，如环江毛南族自治县、三江侗族自治县独峒镇农特产品销售电子平台；另一方面，通过采购员工福利和礼品的方式来支持农产品销售和对外宣传。目前累计采购了蔚县小米、赣州脐橙、延长县核桃和红枣等在内的农副产品，共计消费金额近5万元人民币。上述均是当地农民脱贫增收的重点项目。</w:t>
      </w:r>
    </w:p>
    <w:p>
      <w:pPr>
        <w:ind w:firstLine="560" w:firstLineChars="200"/>
        <w:jc w:val="left"/>
        <w:rPr>
          <w:rFonts w:ascii="楷体_GB2312" w:eastAsia="楷体_GB2312"/>
          <w:sz w:val="28"/>
          <w:szCs w:val="28"/>
        </w:rPr>
      </w:pPr>
      <w:r>
        <w:rPr>
          <w:rFonts w:hint="eastAsia" w:ascii="楷体_GB2312" w:eastAsia="楷体_GB2312"/>
          <w:sz w:val="28"/>
          <w:szCs w:val="28"/>
        </w:rPr>
        <w:t>2020年伊始，新冠肺炎疫情肆虐，对我国的经济以及国民生活都产生了极大的冲击。面对新型冠状病毒疫情，国富期货积极响应中国期货业协会关于期货行业“众志成城抗击疫情”的倡议，在坚决支持与执行疫情防控政策以外，勇于担当、主动作为，为疫情防控纾困解难，以直接捐资形式向上海市慈善基金会捐赠29.51万元，用于抗击新型冠状病毒肺炎疫情专项行动，为上海市援鄂医疗队及医护人员采购医疗防护物资。</w:t>
      </w:r>
    </w:p>
    <w:p>
      <w:pPr>
        <w:ind w:firstLine="562" w:firstLineChars="200"/>
        <w:rPr>
          <w:rFonts w:ascii="楷体" w:hAnsi="楷体" w:eastAsia="楷体"/>
          <w:b/>
          <w:bCs/>
          <w:sz w:val="28"/>
          <w:szCs w:val="28"/>
        </w:rPr>
      </w:pPr>
      <w:bookmarkStart w:id="124" w:name="_Toc13959"/>
      <w:bookmarkStart w:id="125" w:name="_Toc7784"/>
      <w:bookmarkStart w:id="126" w:name="_Toc30300"/>
      <w:bookmarkStart w:id="127" w:name="_Toc7868"/>
      <w:bookmarkStart w:id="128" w:name="_Toc7110"/>
      <w:r>
        <w:rPr>
          <w:rFonts w:hint="eastAsia" w:ascii="楷体" w:hAnsi="楷体" w:eastAsia="楷体"/>
          <w:b/>
          <w:bCs/>
          <w:sz w:val="28"/>
          <w:szCs w:val="28"/>
        </w:rPr>
        <w:t>2．员工管理与合理的工作</w:t>
      </w:r>
      <w:bookmarkEnd w:id="124"/>
      <w:bookmarkEnd w:id="125"/>
      <w:bookmarkEnd w:id="126"/>
      <w:bookmarkEnd w:id="127"/>
      <w:bookmarkEnd w:id="128"/>
    </w:p>
    <w:p>
      <w:pPr>
        <w:ind w:firstLine="560" w:firstLineChars="200"/>
        <w:rPr>
          <w:rFonts w:ascii="楷体" w:hAnsi="楷体" w:eastAsia="楷体"/>
          <w:sz w:val="28"/>
          <w:szCs w:val="28"/>
        </w:rPr>
      </w:pPr>
      <w:r>
        <w:rPr>
          <w:rFonts w:hint="eastAsia" w:ascii="楷体" w:hAnsi="楷体" w:eastAsia="楷体"/>
          <w:sz w:val="28"/>
          <w:szCs w:val="28"/>
        </w:rPr>
        <w:t>2.1关于员工的基本理念</w:t>
      </w:r>
    </w:p>
    <w:p>
      <w:pPr>
        <w:ind w:firstLine="560" w:firstLineChars="200"/>
        <w:rPr>
          <w:rFonts w:ascii="楷体" w:hAnsi="楷体" w:eastAsia="楷体"/>
          <w:sz w:val="28"/>
          <w:szCs w:val="28"/>
        </w:rPr>
      </w:pPr>
      <w:r>
        <w:rPr>
          <w:rFonts w:hint="eastAsia" w:ascii="楷体" w:hAnsi="楷体" w:eastAsia="楷体"/>
          <w:sz w:val="28"/>
          <w:szCs w:val="28"/>
        </w:rPr>
        <w:t xml:space="preserve">公司自成立以来始终坚持“以人为本”的管理思想，高度关注员工的福利保障，根据国家、地方有关法律法规和公司章程，建立健全公司员工全方位的福利保障体系。除国家规定的基本医疗保险外，公司还建立了补充医疗保险制度，给予员工适当的医疗补助。公司还重视生活困难员工，进一步增强企业凝聚力。 </w:t>
      </w:r>
    </w:p>
    <w:p>
      <w:pPr>
        <w:ind w:firstLine="560" w:firstLineChars="200"/>
        <w:rPr>
          <w:rFonts w:ascii="楷体" w:hAnsi="楷体" w:eastAsia="楷体"/>
          <w:sz w:val="28"/>
          <w:szCs w:val="28"/>
        </w:rPr>
      </w:pPr>
      <w:r>
        <w:rPr>
          <w:rFonts w:hint="eastAsia" w:ascii="楷体" w:hAnsi="楷体" w:eastAsia="楷体"/>
          <w:sz w:val="28"/>
          <w:szCs w:val="28"/>
        </w:rPr>
        <w:t>2020年公司在复旦大学、交通大学、上海财经大学、厦门大学、同济大学、上海对外经贸大学开展校招活动，并正式录用11名应届毕业生和10名实习生。</w:t>
      </w:r>
    </w:p>
    <w:p>
      <w:pPr>
        <w:ind w:firstLine="560" w:firstLineChars="200"/>
        <w:rPr>
          <w:rFonts w:ascii="楷体" w:hAnsi="楷体" w:eastAsia="楷体"/>
          <w:sz w:val="28"/>
          <w:szCs w:val="28"/>
        </w:rPr>
      </w:pPr>
      <w:r>
        <w:rPr>
          <w:rFonts w:hint="eastAsia" w:ascii="楷体" w:hAnsi="楷体" w:eastAsia="楷体"/>
          <w:sz w:val="28"/>
          <w:szCs w:val="28"/>
        </w:rPr>
        <w:t>2.2员工数量、结构与流动比例</w:t>
      </w:r>
    </w:p>
    <w:p>
      <w:pPr>
        <w:ind w:firstLine="560" w:firstLineChars="200"/>
        <w:rPr>
          <w:rFonts w:ascii="楷体" w:hAnsi="楷体" w:eastAsia="楷体"/>
          <w:sz w:val="28"/>
          <w:szCs w:val="28"/>
        </w:rPr>
      </w:pPr>
      <w:r>
        <w:rPr>
          <w:rFonts w:hint="eastAsia" w:ascii="楷体" w:hAnsi="楷体" w:eastAsia="楷体"/>
          <w:sz w:val="28"/>
          <w:szCs w:val="28"/>
        </w:rPr>
        <w:t>截止2020年底，国富期货有限公司员工83人。总部员工总数71人，男性员工47人，女性员工36人；其中研究生及以上人员31人，大学本科人员35人，大专及以下人员17人；期货从业人员年龄结构：35岁以下人员60人，36-45岁人员17人，45岁以上人员6人。</w:t>
      </w:r>
    </w:p>
    <w:p>
      <w:pPr>
        <w:ind w:firstLine="560" w:firstLineChars="200"/>
        <w:rPr>
          <w:rFonts w:ascii="楷体" w:hAnsi="楷体" w:eastAsia="楷体"/>
          <w:sz w:val="28"/>
          <w:szCs w:val="28"/>
        </w:rPr>
      </w:pPr>
      <w:r>
        <w:rPr>
          <w:rFonts w:hint="eastAsia" w:ascii="楷体" w:hAnsi="楷体" w:eastAsia="楷体"/>
          <w:sz w:val="28"/>
          <w:szCs w:val="28"/>
        </w:rPr>
        <w:t>由于公司业务发展需要，近期新进年轻人员较多，且多为高素质人才。公司保持行业内相对较高的薪酬及福利，提供良好的工作环境，员工满意度和公司忠诚度均较高。</w:t>
      </w:r>
    </w:p>
    <w:p>
      <w:pPr>
        <w:ind w:firstLine="560" w:firstLineChars="200"/>
        <w:rPr>
          <w:rFonts w:ascii="楷体" w:hAnsi="楷体" w:eastAsia="楷体"/>
          <w:sz w:val="28"/>
          <w:szCs w:val="28"/>
        </w:rPr>
      </w:pPr>
      <w:r>
        <w:rPr>
          <w:rFonts w:hint="eastAsia" w:ascii="楷体" w:hAnsi="楷体" w:eastAsia="楷体"/>
          <w:sz w:val="28"/>
          <w:szCs w:val="28"/>
        </w:rPr>
        <w:t>2.3员工与管理层关系</w:t>
      </w:r>
    </w:p>
    <w:p>
      <w:pPr>
        <w:ind w:firstLine="560" w:firstLineChars="200"/>
        <w:rPr>
          <w:rFonts w:ascii="楷体" w:hAnsi="楷体" w:eastAsia="楷体"/>
          <w:sz w:val="28"/>
          <w:szCs w:val="28"/>
        </w:rPr>
      </w:pPr>
      <w:r>
        <w:rPr>
          <w:rFonts w:hint="eastAsia" w:ascii="楷体" w:hAnsi="楷体" w:eastAsia="楷体"/>
          <w:sz w:val="28"/>
          <w:szCs w:val="28"/>
        </w:rPr>
        <w:t>管理层能够做到严于律己，关心爱护下属，有效构建员工沟通渠道，搭建合理的晋升平台。员工能够深入地了解公司的文化，互帮互助，遇到问题也能及时向管理层反映并得到可靠的帮助。</w:t>
      </w:r>
    </w:p>
    <w:p>
      <w:pPr>
        <w:ind w:firstLine="560" w:firstLineChars="200"/>
        <w:rPr>
          <w:rFonts w:ascii="楷体" w:hAnsi="楷体" w:eastAsia="楷体"/>
          <w:sz w:val="28"/>
          <w:szCs w:val="28"/>
        </w:rPr>
      </w:pPr>
      <w:r>
        <w:rPr>
          <w:rFonts w:hint="eastAsia" w:ascii="楷体" w:hAnsi="楷体" w:eastAsia="楷体"/>
          <w:sz w:val="28"/>
          <w:szCs w:val="28"/>
        </w:rPr>
        <w:t>2.4职业健康与安全</w:t>
      </w:r>
    </w:p>
    <w:p>
      <w:pPr>
        <w:ind w:firstLine="560" w:firstLineChars="200"/>
        <w:rPr>
          <w:rFonts w:ascii="楷体" w:hAnsi="楷体" w:eastAsia="楷体"/>
          <w:sz w:val="28"/>
          <w:szCs w:val="28"/>
        </w:rPr>
      </w:pPr>
      <w:r>
        <w:rPr>
          <w:rFonts w:hint="eastAsia" w:ascii="楷体" w:hAnsi="楷体" w:eastAsia="楷体"/>
          <w:sz w:val="28"/>
          <w:szCs w:val="28"/>
        </w:rPr>
        <w:t>公司高度重视员工的职业健康与安全，精心为员工创造良好的工作环境，充分满足员工需求，体现“以员工为本”的管理理念。</w:t>
      </w:r>
    </w:p>
    <w:p>
      <w:pPr>
        <w:ind w:firstLine="560" w:firstLineChars="200"/>
        <w:rPr>
          <w:rFonts w:ascii="楷体" w:hAnsi="楷体" w:eastAsia="楷体"/>
          <w:sz w:val="28"/>
          <w:szCs w:val="28"/>
        </w:rPr>
      </w:pPr>
      <w:r>
        <w:rPr>
          <w:rFonts w:hint="eastAsia" w:ascii="楷体" w:hAnsi="楷体" w:eastAsia="楷体"/>
          <w:sz w:val="28"/>
          <w:szCs w:val="28"/>
        </w:rPr>
        <w:t>公司办公场所选择在新建的高级办公楼宇内，办公环境优越。员工工作场所均通过当地消防部门的合格消防验收，并设有门禁管理系统、视频监控系统。公司制定了相应的应急处置预案，认真按规定执行安全管理，全年未发生任何安全责任事故。</w:t>
      </w:r>
    </w:p>
    <w:p>
      <w:pPr>
        <w:ind w:firstLine="560" w:firstLineChars="200"/>
        <w:rPr>
          <w:rFonts w:ascii="楷体" w:hAnsi="楷体" w:eastAsia="楷体"/>
          <w:sz w:val="28"/>
          <w:szCs w:val="28"/>
        </w:rPr>
      </w:pPr>
      <w:r>
        <w:rPr>
          <w:rFonts w:hint="eastAsia" w:ascii="楷体" w:hAnsi="楷体" w:eastAsia="楷体"/>
          <w:sz w:val="28"/>
          <w:szCs w:val="28"/>
        </w:rPr>
        <w:t>2.5员工的福利与社会保障</w:t>
      </w:r>
    </w:p>
    <w:p>
      <w:pPr>
        <w:ind w:firstLine="560" w:firstLineChars="200"/>
        <w:rPr>
          <w:rFonts w:ascii="楷体" w:hAnsi="楷体" w:eastAsia="楷体"/>
          <w:sz w:val="28"/>
          <w:szCs w:val="28"/>
        </w:rPr>
      </w:pPr>
      <w:r>
        <w:rPr>
          <w:rFonts w:hint="eastAsia" w:ascii="楷体" w:hAnsi="楷体" w:eastAsia="楷体"/>
          <w:sz w:val="28"/>
          <w:szCs w:val="28"/>
        </w:rPr>
        <w:t>公司严格遵守国家劳动法律法规关于就业服务与就业管理的规定，严格保护劳动者的劳动权利，向劳动者提供平等的就业机会和公平的就业条件。</w:t>
      </w:r>
    </w:p>
    <w:p>
      <w:pPr>
        <w:ind w:firstLine="560" w:firstLineChars="200"/>
        <w:rPr>
          <w:rFonts w:ascii="楷体" w:hAnsi="楷体" w:eastAsia="楷体"/>
          <w:sz w:val="28"/>
          <w:szCs w:val="28"/>
        </w:rPr>
      </w:pPr>
      <w:r>
        <w:rPr>
          <w:rFonts w:hint="eastAsia" w:ascii="楷体" w:hAnsi="楷体" w:eastAsia="楷体"/>
          <w:sz w:val="28"/>
          <w:szCs w:val="28"/>
        </w:rPr>
        <w:t>公司按照《劳动合同法》条款，及时与员工签订书面合同。合同条款包括工作时间、休息休假、劳动报酬、社会保险、劳动保护、劳动条件、职业危害防护等法定必备条款，员工依法享受各种法定的带薪假期。包括法定节假日、年休假、婚假、丧假、产假、病假、工伤假、看护假等。公司充分尊重、关心女员工，依法保障女员工的各项权益，在人员聘用、薪酬待遇、职级职位晋升等方面，均给予女员工同等的待遇和发展机会。</w:t>
      </w:r>
    </w:p>
    <w:p>
      <w:pPr>
        <w:ind w:firstLine="560" w:firstLineChars="200"/>
        <w:rPr>
          <w:rFonts w:ascii="楷体" w:hAnsi="楷体" w:eastAsia="楷体"/>
          <w:sz w:val="28"/>
          <w:szCs w:val="28"/>
        </w:rPr>
      </w:pPr>
      <w:r>
        <w:rPr>
          <w:rFonts w:hint="eastAsia" w:ascii="楷体" w:hAnsi="楷体" w:eastAsia="楷体"/>
          <w:sz w:val="28"/>
          <w:szCs w:val="28"/>
        </w:rPr>
        <w:t>目前全公司劳动合同签订率100%，集体合同覆盖率100%，社会保险覆盖率100%。</w:t>
      </w:r>
    </w:p>
    <w:p>
      <w:pPr>
        <w:ind w:firstLine="560" w:firstLineChars="200"/>
        <w:rPr>
          <w:rFonts w:ascii="楷体" w:hAnsi="楷体" w:eastAsia="楷体"/>
          <w:sz w:val="28"/>
          <w:szCs w:val="28"/>
        </w:rPr>
      </w:pPr>
      <w:r>
        <w:rPr>
          <w:rFonts w:hint="eastAsia" w:ascii="楷体" w:hAnsi="楷体" w:eastAsia="楷体"/>
          <w:sz w:val="28"/>
          <w:szCs w:val="28"/>
        </w:rPr>
        <w:t>2.6培训与教育</w:t>
      </w:r>
    </w:p>
    <w:p>
      <w:pPr>
        <w:ind w:firstLine="560" w:firstLineChars="200"/>
        <w:rPr>
          <w:rFonts w:ascii="楷体" w:hAnsi="楷体" w:eastAsia="楷体"/>
          <w:sz w:val="28"/>
          <w:szCs w:val="28"/>
        </w:rPr>
      </w:pPr>
      <w:r>
        <w:rPr>
          <w:rFonts w:hint="eastAsia" w:ascii="楷体" w:hAnsi="楷体" w:eastAsia="楷体"/>
          <w:sz w:val="28"/>
          <w:szCs w:val="28"/>
        </w:rPr>
        <w:t>公司高度重视员工职业发展，通过不断完善公司激励体系为员工提供上升通道；同时，定期或不定期举办各类培训，为员工提供多元化的职业发展平台。国富期货培训一直以服务于公司战略，为公司培养复合型人才和各类专业人才，服务于公司各项业务需求为宗旨。</w:t>
      </w:r>
    </w:p>
    <w:p>
      <w:pPr>
        <w:ind w:firstLine="560" w:firstLineChars="200"/>
        <w:rPr>
          <w:rFonts w:ascii="楷体" w:hAnsi="楷体" w:eastAsia="楷体"/>
          <w:sz w:val="28"/>
          <w:szCs w:val="28"/>
        </w:rPr>
      </w:pPr>
      <w:r>
        <w:rPr>
          <w:rFonts w:hint="eastAsia" w:ascii="楷体" w:hAnsi="楷体" w:eastAsia="楷体"/>
          <w:sz w:val="28"/>
          <w:szCs w:val="28"/>
        </w:rPr>
        <w:t>2020年接受公司培训的员工覆盖率为100%，有效提高了全体员工的综合业务素质。为持续提升公司员工的职业技能和综合素质，促进公司战略目标的实现，公司采取全面规划、分层实施、重点突出的培训计划：加强对高层员工的执行力和专业技能培训，拓展其国际化视野，提高其变革管理能力、战略分析能力、经营管理能力、防范风险能力和综合人文素养等，培养高素质的企业经营管理者；强化对中层员工的执行力和专业技能培训，着力提升其专业理论水平、业务执行能力、组织开发能力、业务创新能力等；普及对基层员工的职业化和通用技能培训，加强其企业文化、业务运行、工作流程、规章制度等方面教育，提升其专业沟通能力、客户服务能力、团队协作能力、办公操作能力等。</w:t>
      </w:r>
    </w:p>
    <w:p>
      <w:pPr>
        <w:ind w:firstLine="560" w:firstLineChars="200"/>
        <w:rPr>
          <w:rFonts w:ascii="楷体" w:hAnsi="楷体" w:eastAsia="楷体"/>
          <w:sz w:val="28"/>
          <w:szCs w:val="28"/>
        </w:rPr>
      </w:pPr>
      <w:r>
        <w:rPr>
          <w:rFonts w:hint="eastAsia" w:ascii="楷体" w:hAnsi="楷体" w:eastAsia="楷体"/>
          <w:sz w:val="28"/>
          <w:szCs w:val="28"/>
        </w:rPr>
        <w:t>2.7员工对工作单位的满意度</w:t>
      </w:r>
    </w:p>
    <w:p>
      <w:pPr>
        <w:ind w:firstLine="560" w:firstLineChars="200"/>
        <w:rPr>
          <w:rFonts w:ascii="楷体" w:hAnsi="楷体" w:eastAsia="楷体"/>
          <w:sz w:val="28"/>
          <w:szCs w:val="28"/>
        </w:rPr>
      </w:pPr>
      <w:r>
        <w:rPr>
          <w:rFonts w:hint="eastAsia" w:ascii="楷体" w:hAnsi="楷体" w:eastAsia="楷体"/>
          <w:sz w:val="28"/>
          <w:szCs w:val="28"/>
        </w:rPr>
        <w:t>员工满意度是指员工接受企业的实际感受与其期望值比较的程度。国富期货通过提高员工的福利待遇，提供充分的社会保障，改善员工的工作环境和工作氛围，对员工不定期进行岗位培训和专业培训，提倡员工自主参加不限于行业内的各项培训学习活动，并给予奖励等</w:t>
      </w:r>
      <w:r>
        <w:rPr>
          <w:rFonts w:ascii="楷体" w:hAnsi="楷体" w:eastAsia="楷体"/>
          <w:sz w:val="28"/>
          <w:szCs w:val="28"/>
        </w:rPr>
        <w:t>各种途径来提高员工满意度</w:t>
      </w:r>
      <w:r>
        <w:rPr>
          <w:rFonts w:hint="eastAsia" w:ascii="楷体" w:hAnsi="楷体" w:eastAsia="楷体"/>
          <w:sz w:val="28"/>
          <w:szCs w:val="28"/>
        </w:rPr>
        <w:t>。在工作之余组织员工参加体育活动，丰富员工的业余生活。在员工生日时额外发放福利待遇，对家庭有困难的员工在公司提供补助的情况下提倡其他员工互帮互助。公司很重视提高员工对本公司的满意度，唯有员工的满意度提升才能提高工作效率与工作效果。</w:t>
      </w:r>
    </w:p>
    <w:p>
      <w:pPr>
        <w:ind w:firstLine="562" w:firstLineChars="200"/>
        <w:rPr>
          <w:rFonts w:ascii="楷体" w:hAnsi="楷体" w:eastAsia="楷体"/>
          <w:b/>
          <w:bCs/>
          <w:sz w:val="28"/>
          <w:szCs w:val="28"/>
        </w:rPr>
      </w:pPr>
      <w:bookmarkStart w:id="129" w:name="_Toc28005"/>
      <w:bookmarkStart w:id="130" w:name="_Toc17949"/>
      <w:bookmarkStart w:id="131" w:name="_Toc16941"/>
      <w:bookmarkStart w:id="132" w:name="_Toc25915"/>
      <w:bookmarkStart w:id="133" w:name="_Toc26450"/>
      <w:r>
        <w:rPr>
          <w:rFonts w:hint="eastAsia" w:ascii="楷体" w:hAnsi="楷体" w:eastAsia="楷体"/>
          <w:b/>
          <w:bCs/>
          <w:sz w:val="28"/>
          <w:szCs w:val="28"/>
        </w:rPr>
        <w:t>3. 员工权利</w:t>
      </w:r>
      <w:bookmarkEnd w:id="129"/>
      <w:bookmarkEnd w:id="130"/>
      <w:bookmarkEnd w:id="131"/>
      <w:bookmarkEnd w:id="132"/>
      <w:bookmarkEnd w:id="133"/>
    </w:p>
    <w:p>
      <w:pPr>
        <w:ind w:firstLine="560" w:firstLineChars="200"/>
        <w:rPr>
          <w:rFonts w:ascii="楷体" w:hAnsi="楷体" w:eastAsia="楷体"/>
          <w:sz w:val="28"/>
          <w:szCs w:val="28"/>
        </w:rPr>
      </w:pPr>
      <w:r>
        <w:rPr>
          <w:rFonts w:hint="eastAsia" w:ascii="楷体" w:hAnsi="楷体" w:eastAsia="楷体"/>
          <w:sz w:val="28"/>
          <w:szCs w:val="28"/>
        </w:rPr>
        <w:t>国富期货的员工权利保障以收集、探讨，反馈三部分组成。公司</w:t>
      </w:r>
      <w:r>
        <w:rPr>
          <w:rFonts w:ascii="楷体" w:hAnsi="楷体" w:eastAsia="楷体"/>
          <w:sz w:val="28"/>
          <w:szCs w:val="28"/>
        </w:rPr>
        <w:t>综合部</w:t>
      </w:r>
      <w:r>
        <w:rPr>
          <w:rFonts w:hint="eastAsia" w:ascii="楷体" w:hAnsi="楷体" w:eastAsia="楷体"/>
          <w:sz w:val="28"/>
          <w:szCs w:val="28"/>
        </w:rPr>
        <w:t>广泛征求多方意见，</w:t>
      </w:r>
      <w:r>
        <w:rPr>
          <w:rFonts w:ascii="楷体" w:hAnsi="楷体" w:eastAsia="楷体"/>
          <w:sz w:val="28"/>
          <w:szCs w:val="28"/>
        </w:rPr>
        <w:t>定期</w:t>
      </w:r>
      <w:r>
        <w:rPr>
          <w:rFonts w:hint="eastAsia" w:ascii="楷体" w:hAnsi="楷体" w:eastAsia="楷体"/>
          <w:sz w:val="28"/>
          <w:szCs w:val="28"/>
        </w:rPr>
        <w:t>收集员工信息，及时反馈管理层，管理层集体讨论后，根据员工实际情况以及行业内普遍水平及时采取</w:t>
      </w:r>
      <w:r>
        <w:rPr>
          <w:rFonts w:ascii="楷体" w:hAnsi="楷体" w:eastAsia="楷体"/>
          <w:sz w:val="28"/>
          <w:szCs w:val="28"/>
        </w:rPr>
        <w:t>如</w:t>
      </w:r>
      <w:r>
        <w:rPr>
          <w:rFonts w:hint="eastAsia" w:ascii="楷体" w:hAnsi="楷体" w:eastAsia="楷体"/>
          <w:sz w:val="28"/>
          <w:szCs w:val="28"/>
        </w:rPr>
        <w:t>调整薪酬、合理</w:t>
      </w:r>
      <w:r>
        <w:rPr>
          <w:rFonts w:ascii="楷体" w:hAnsi="楷体" w:eastAsia="楷体"/>
          <w:sz w:val="28"/>
          <w:szCs w:val="28"/>
        </w:rPr>
        <w:t>安排</w:t>
      </w:r>
      <w:r>
        <w:rPr>
          <w:rFonts w:hint="eastAsia" w:ascii="楷体" w:hAnsi="楷体" w:eastAsia="楷体"/>
          <w:sz w:val="28"/>
          <w:szCs w:val="28"/>
        </w:rPr>
        <w:t>工作时间、提高福利待遇等保障措施，保持公司在行业内的薪酬待遇竞争力，筑巢引凤，争贤纳士。</w:t>
      </w:r>
    </w:p>
    <w:p>
      <w:pPr>
        <w:ind w:firstLine="562" w:firstLineChars="200"/>
        <w:rPr>
          <w:rFonts w:ascii="楷体" w:hAnsi="楷体" w:eastAsia="楷体"/>
          <w:b/>
          <w:bCs/>
          <w:sz w:val="28"/>
          <w:szCs w:val="28"/>
        </w:rPr>
      </w:pPr>
      <w:bookmarkStart w:id="134" w:name="_Toc12298"/>
      <w:bookmarkStart w:id="135" w:name="_Toc22413"/>
      <w:bookmarkStart w:id="136" w:name="_Toc13380"/>
      <w:bookmarkStart w:id="137" w:name="_Toc22684"/>
      <w:bookmarkStart w:id="138" w:name="_Toc530"/>
      <w:r>
        <w:rPr>
          <w:rFonts w:hint="eastAsia" w:ascii="楷体" w:hAnsi="楷体" w:eastAsia="楷体"/>
          <w:b/>
          <w:bCs/>
          <w:sz w:val="28"/>
          <w:szCs w:val="28"/>
        </w:rPr>
        <w:t>4. 社会影响</w:t>
      </w:r>
      <w:bookmarkEnd w:id="134"/>
      <w:bookmarkEnd w:id="135"/>
      <w:bookmarkEnd w:id="136"/>
      <w:bookmarkEnd w:id="137"/>
      <w:bookmarkEnd w:id="138"/>
    </w:p>
    <w:p>
      <w:pPr>
        <w:ind w:firstLine="560" w:firstLineChars="200"/>
        <w:rPr>
          <w:rFonts w:ascii="楷体" w:hAnsi="楷体" w:eastAsia="楷体"/>
          <w:sz w:val="28"/>
          <w:szCs w:val="28"/>
        </w:rPr>
      </w:pPr>
      <w:r>
        <w:rPr>
          <w:rFonts w:hint="eastAsia" w:ascii="楷体" w:hAnsi="楷体" w:eastAsia="楷体"/>
          <w:sz w:val="28"/>
          <w:szCs w:val="28"/>
        </w:rPr>
        <w:t>企业发展源于社会，回报社会是企业应尽的责任。国富期货注重企业的社会价值体现，把为社会创造繁荣作为企业所应承担社会责任的一种承诺，以自身发展影响和带动地方经济振兴。</w:t>
      </w:r>
    </w:p>
    <w:p>
      <w:pPr>
        <w:numPr>
          <w:ilvl w:val="0"/>
          <w:numId w:val="3"/>
        </w:numPr>
        <w:ind w:firstLine="560" w:firstLineChars="200"/>
        <w:rPr>
          <w:rFonts w:ascii="楷体" w:hAnsi="楷体" w:eastAsia="楷体"/>
          <w:sz w:val="28"/>
          <w:szCs w:val="28"/>
        </w:rPr>
      </w:pPr>
      <w:r>
        <w:rPr>
          <w:rFonts w:hint="eastAsia" w:ascii="楷体" w:hAnsi="楷体" w:eastAsia="楷体"/>
          <w:sz w:val="28"/>
          <w:szCs w:val="28"/>
        </w:rPr>
        <w:t>注重投资者教育</w:t>
      </w:r>
    </w:p>
    <w:p>
      <w:pPr>
        <w:pStyle w:val="22"/>
        <w:adjustRightInd w:val="0"/>
        <w:spacing w:line="360" w:lineRule="auto"/>
        <w:ind w:firstLine="560"/>
        <w:rPr>
          <w:rFonts w:ascii="楷体" w:hAnsi="楷体" w:eastAsia="楷体"/>
          <w:sz w:val="28"/>
          <w:szCs w:val="28"/>
        </w:rPr>
      </w:pPr>
      <w:r>
        <w:rPr>
          <w:rFonts w:hint="eastAsia" w:ascii="楷体" w:hAnsi="楷体" w:eastAsia="楷体"/>
          <w:sz w:val="28"/>
          <w:szCs w:val="28"/>
        </w:rPr>
        <w:t>投资者教育工作是一项长期且重要的工作，是期货公司健康发展的基石，是经营管理的重要组成部分，对于保护投资者合法权益、培育成熟理性的投资者、规范市场秩序和交易行为、促进期货市场规范化建设，都有着极其重要的意义。</w:t>
      </w:r>
    </w:p>
    <w:p>
      <w:pPr>
        <w:pStyle w:val="22"/>
        <w:adjustRightInd w:val="0"/>
        <w:spacing w:line="360" w:lineRule="auto"/>
        <w:ind w:firstLine="560"/>
        <w:rPr>
          <w:rFonts w:ascii="楷体" w:hAnsi="楷体" w:eastAsia="楷体"/>
          <w:sz w:val="28"/>
          <w:szCs w:val="28"/>
        </w:rPr>
      </w:pPr>
      <w:r>
        <w:rPr>
          <w:rFonts w:hint="eastAsia" w:ascii="楷体" w:hAnsi="楷体" w:eastAsia="楷体"/>
          <w:sz w:val="28"/>
          <w:szCs w:val="28"/>
        </w:rPr>
        <w:t>国富期货严格按照证监会上海监管局、期货业协会的相关规定，与</w:t>
      </w:r>
      <w:r>
        <w:rPr>
          <w:rFonts w:ascii="楷体" w:hAnsi="楷体" w:eastAsia="楷体"/>
          <w:sz w:val="28"/>
          <w:szCs w:val="28"/>
        </w:rPr>
        <w:t>上海市期货同业公会</w:t>
      </w:r>
      <w:r>
        <w:rPr>
          <w:rFonts w:hint="eastAsia" w:ascii="楷体" w:hAnsi="楷体" w:eastAsia="楷体"/>
          <w:sz w:val="28"/>
          <w:szCs w:val="28"/>
        </w:rPr>
        <w:t>协作，认真贯彻执行投资者教育工作，把投资者教育工作作为公司经营的重要组成部分，作为保护投资者合法权益、促进市场规范健康有序发展的重要工作来抓，全公司相关部门紧密配合、统筹兼顾，形成了有制度保障、与实际工作相结合、注重实效、内容丰富的投资者教育工作体系，较好的落实了投资者教育工作。</w:t>
      </w:r>
    </w:p>
    <w:p>
      <w:pPr>
        <w:pStyle w:val="22"/>
        <w:adjustRightInd w:val="0"/>
        <w:spacing w:line="360" w:lineRule="auto"/>
        <w:ind w:firstLine="560"/>
        <w:rPr>
          <w:rFonts w:ascii="楷体" w:hAnsi="楷体" w:eastAsia="楷体" w:cstheme="minorBidi"/>
          <w:sz w:val="28"/>
          <w:szCs w:val="28"/>
        </w:rPr>
      </w:pPr>
      <w:r>
        <w:rPr>
          <w:rFonts w:hint="eastAsia" w:ascii="楷体" w:hAnsi="楷体" w:eastAsia="楷体"/>
          <w:sz w:val="28"/>
          <w:szCs w:val="28"/>
        </w:rPr>
        <w:t>国富期货通过各种方式向广大投资者揭示期货投资风险，提高其自我保护意识。如对投资者进行相关的风险揭示，提醒投资者妥善保管期货账户的资金密码和交易密码等重要信息，并向其发放有关投资者教育的宣传资料，提醒投资者远离非法期货交易，提高对非法咨询、非法理财、非法期货买卖的警惕性。</w:t>
      </w:r>
      <w:r>
        <w:rPr>
          <w:rFonts w:hint="eastAsia" w:ascii="楷体" w:hAnsi="楷体" w:eastAsia="楷体" w:cstheme="minorBidi"/>
          <w:sz w:val="28"/>
          <w:szCs w:val="28"/>
        </w:rPr>
        <w:t>防范从事非法集资、非法期货活动、杜绝违规承诺本金安全或保底收益等情况，帮助投资者了解相关期货业务中各方权利和义务。</w:t>
      </w:r>
    </w:p>
    <w:p>
      <w:pPr>
        <w:pStyle w:val="22"/>
        <w:adjustRightInd w:val="0"/>
        <w:spacing w:line="360" w:lineRule="auto"/>
        <w:ind w:firstLine="560"/>
        <w:rPr>
          <w:rFonts w:ascii="楷体" w:hAnsi="楷体" w:eastAsia="楷体"/>
          <w:sz w:val="28"/>
          <w:szCs w:val="28"/>
        </w:rPr>
      </w:pPr>
      <w:r>
        <w:rPr>
          <w:rFonts w:hint="eastAsia" w:ascii="楷体" w:hAnsi="楷体" w:eastAsia="楷体"/>
          <w:sz w:val="28"/>
          <w:szCs w:val="28"/>
        </w:rPr>
        <w:t>2020年公司共组织开展多轮次多形式的投资者教育活动有10次，主要涉及“3·15 国际消费者权益日”活动、“4·15全民国家安全教育日”活动、“5·15全国投资者保护宣传日”活动、“防范非法集资月”活动、“网络安全宣传周”活动、“金融知识普及月”活动、“宪法宣传周”活动及股票期权相关投资者教育活动、民法典学习宣传活动等。活动紧扣主题、形式多样、生动活泼，既让投资者和员工感兴趣，又传达了活动主旨，受到一致好评。</w:t>
      </w:r>
    </w:p>
    <w:p>
      <w:pPr>
        <w:numPr>
          <w:ilvl w:val="0"/>
          <w:numId w:val="3"/>
        </w:numPr>
        <w:ind w:firstLine="560" w:firstLineChars="200"/>
        <w:rPr>
          <w:rFonts w:ascii="楷体" w:hAnsi="楷体" w:eastAsia="楷体"/>
          <w:sz w:val="28"/>
          <w:szCs w:val="28"/>
        </w:rPr>
      </w:pPr>
      <w:r>
        <w:rPr>
          <w:rFonts w:hint="eastAsia" w:ascii="楷体" w:hAnsi="楷体" w:eastAsia="楷体"/>
          <w:sz w:val="28"/>
          <w:szCs w:val="28"/>
        </w:rPr>
        <w:t>良好的商业道德与职业操守</w:t>
      </w:r>
    </w:p>
    <w:p>
      <w:pPr>
        <w:ind w:firstLine="560" w:firstLineChars="200"/>
        <w:rPr>
          <w:rFonts w:ascii="楷体" w:hAnsi="楷体" w:eastAsia="楷体"/>
          <w:sz w:val="28"/>
          <w:szCs w:val="28"/>
        </w:rPr>
      </w:pPr>
      <w:r>
        <w:rPr>
          <w:rFonts w:hint="eastAsia" w:ascii="楷体" w:hAnsi="楷体" w:eastAsia="楷体"/>
          <w:sz w:val="28"/>
          <w:szCs w:val="28"/>
        </w:rPr>
        <w:t>公司发展始终坚持良好的商业道德和执业操守，严格落实反洗钱各项工作。</w:t>
      </w:r>
      <w:r>
        <w:rPr>
          <w:rFonts w:ascii="楷体" w:hAnsi="楷体" w:eastAsia="楷体"/>
          <w:sz w:val="28"/>
          <w:szCs w:val="28"/>
        </w:rPr>
        <w:t>公司</w:t>
      </w:r>
      <w:r>
        <w:rPr>
          <w:rFonts w:hint="eastAsia" w:ascii="楷体" w:hAnsi="楷体" w:eastAsia="楷体"/>
          <w:sz w:val="28"/>
          <w:szCs w:val="28"/>
        </w:rPr>
        <w:t>积极</w:t>
      </w:r>
      <w:r>
        <w:rPr>
          <w:rFonts w:ascii="楷体" w:hAnsi="楷体" w:eastAsia="楷体"/>
          <w:sz w:val="28"/>
          <w:szCs w:val="28"/>
        </w:rPr>
        <w:t>适应上海辖区反洗钱工作的环境，</w:t>
      </w:r>
      <w:r>
        <w:rPr>
          <w:rFonts w:hint="eastAsia" w:ascii="楷体" w:hAnsi="楷体" w:eastAsia="楷体"/>
          <w:sz w:val="28"/>
          <w:szCs w:val="28"/>
        </w:rPr>
        <w:t>与</w:t>
      </w:r>
      <w:r>
        <w:rPr>
          <w:rFonts w:ascii="楷体" w:hAnsi="楷体" w:eastAsia="楷体"/>
          <w:sz w:val="28"/>
          <w:szCs w:val="28"/>
        </w:rPr>
        <w:t>上海辖区</w:t>
      </w:r>
      <w:r>
        <w:rPr>
          <w:rFonts w:hint="eastAsia" w:ascii="楷体" w:hAnsi="楷体" w:eastAsia="楷体"/>
          <w:sz w:val="28"/>
          <w:szCs w:val="28"/>
        </w:rPr>
        <w:t>其他</w:t>
      </w:r>
      <w:r>
        <w:rPr>
          <w:rFonts w:ascii="楷体" w:hAnsi="楷体" w:eastAsia="楷体"/>
          <w:sz w:val="28"/>
          <w:szCs w:val="28"/>
        </w:rPr>
        <w:t>期货公司加强反洗钱</w:t>
      </w:r>
      <w:r>
        <w:rPr>
          <w:rFonts w:hint="eastAsia" w:ascii="楷体" w:hAnsi="楷体" w:eastAsia="楷体"/>
          <w:sz w:val="28"/>
          <w:szCs w:val="28"/>
        </w:rPr>
        <w:t>方面</w:t>
      </w:r>
      <w:r>
        <w:rPr>
          <w:rFonts w:ascii="楷体" w:hAnsi="楷体" w:eastAsia="楷体"/>
          <w:sz w:val="28"/>
          <w:szCs w:val="28"/>
        </w:rPr>
        <w:t>的工作交流，</w:t>
      </w:r>
      <w:r>
        <w:rPr>
          <w:rFonts w:hint="eastAsia" w:ascii="楷体" w:hAnsi="楷体" w:eastAsia="楷体"/>
          <w:sz w:val="28"/>
          <w:szCs w:val="28"/>
        </w:rPr>
        <w:t>认真</w:t>
      </w:r>
      <w:r>
        <w:rPr>
          <w:rFonts w:ascii="楷体" w:hAnsi="楷体" w:eastAsia="楷体"/>
          <w:sz w:val="28"/>
          <w:szCs w:val="28"/>
        </w:rPr>
        <w:t>贯彻落实中国人民银行上海分行和中国证券监督管理委员会上海证监局的</w:t>
      </w:r>
      <w:r>
        <w:rPr>
          <w:rFonts w:hint="eastAsia" w:ascii="楷体" w:hAnsi="楷体" w:eastAsia="楷体"/>
          <w:sz w:val="28"/>
          <w:szCs w:val="28"/>
        </w:rPr>
        <w:t>各项</w:t>
      </w:r>
      <w:r>
        <w:rPr>
          <w:rFonts w:ascii="楷体" w:hAnsi="楷体" w:eastAsia="楷体"/>
          <w:sz w:val="28"/>
          <w:szCs w:val="28"/>
        </w:rPr>
        <w:t>工作任务，</w:t>
      </w:r>
      <w:r>
        <w:rPr>
          <w:rFonts w:hint="eastAsia" w:ascii="楷体" w:hAnsi="楷体" w:eastAsia="楷体"/>
          <w:sz w:val="28"/>
          <w:szCs w:val="28"/>
        </w:rPr>
        <w:t>继续</w:t>
      </w:r>
      <w:r>
        <w:rPr>
          <w:rFonts w:ascii="楷体" w:hAnsi="楷体" w:eastAsia="楷体"/>
          <w:sz w:val="28"/>
          <w:szCs w:val="28"/>
        </w:rPr>
        <w:t>把反洗钱工作作为</w:t>
      </w:r>
      <w:r>
        <w:rPr>
          <w:rFonts w:hint="eastAsia" w:ascii="楷体" w:hAnsi="楷体" w:eastAsia="楷体"/>
          <w:sz w:val="28"/>
          <w:szCs w:val="28"/>
        </w:rPr>
        <w:t>一项</w:t>
      </w:r>
      <w:r>
        <w:rPr>
          <w:rFonts w:ascii="楷体" w:hAnsi="楷体" w:eastAsia="楷体"/>
          <w:sz w:val="28"/>
          <w:szCs w:val="28"/>
        </w:rPr>
        <w:t>重要且长期的工作任务来抓，</w:t>
      </w:r>
      <w:r>
        <w:rPr>
          <w:rFonts w:hint="eastAsia" w:ascii="楷体" w:hAnsi="楷体" w:eastAsia="楷体"/>
          <w:sz w:val="28"/>
          <w:szCs w:val="28"/>
        </w:rPr>
        <w:t>严格</w:t>
      </w:r>
      <w:r>
        <w:rPr>
          <w:rFonts w:ascii="楷体" w:hAnsi="楷体" w:eastAsia="楷体"/>
          <w:sz w:val="28"/>
          <w:szCs w:val="28"/>
        </w:rPr>
        <w:t>执行客户身份识别制度和</w:t>
      </w:r>
      <w:r>
        <w:rPr>
          <w:rFonts w:hint="eastAsia" w:ascii="楷体" w:hAnsi="楷体" w:eastAsia="楷体"/>
          <w:sz w:val="28"/>
          <w:szCs w:val="28"/>
        </w:rPr>
        <w:t>可疑</w:t>
      </w:r>
      <w:r>
        <w:rPr>
          <w:rFonts w:ascii="楷体" w:hAnsi="楷体" w:eastAsia="楷体"/>
          <w:sz w:val="28"/>
          <w:szCs w:val="28"/>
        </w:rPr>
        <w:t>交易报告制度</w:t>
      </w:r>
      <w:r>
        <w:rPr>
          <w:rFonts w:hint="eastAsia" w:ascii="楷体" w:hAnsi="楷体" w:eastAsia="楷体"/>
          <w:sz w:val="28"/>
          <w:szCs w:val="28"/>
        </w:rPr>
        <w:t>。同时公司加大</w:t>
      </w:r>
      <w:r>
        <w:rPr>
          <w:rFonts w:ascii="楷体" w:hAnsi="楷体" w:eastAsia="楷体"/>
          <w:sz w:val="28"/>
          <w:szCs w:val="28"/>
        </w:rPr>
        <w:t>反洗钱培训</w:t>
      </w:r>
      <w:r>
        <w:rPr>
          <w:rFonts w:hint="eastAsia" w:ascii="楷体" w:hAnsi="楷体" w:eastAsia="楷体"/>
          <w:sz w:val="28"/>
          <w:szCs w:val="28"/>
        </w:rPr>
        <w:t>力度</w:t>
      </w:r>
      <w:r>
        <w:rPr>
          <w:rFonts w:ascii="楷体" w:hAnsi="楷体" w:eastAsia="楷体"/>
          <w:sz w:val="28"/>
          <w:szCs w:val="28"/>
        </w:rPr>
        <w:t>，</w:t>
      </w:r>
      <w:r>
        <w:rPr>
          <w:rFonts w:hint="eastAsia" w:ascii="楷体" w:hAnsi="楷体" w:eastAsia="楷体"/>
          <w:sz w:val="28"/>
          <w:szCs w:val="28"/>
        </w:rPr>
        <w:t>扩大</w:t>
      </w:r>
      <w:r>
        <w:rPr>
          <w:rFonts w:ascii="楷体" w:hAnsi="楷体" w:eastAsia="楷体"/>
          <w:sz w:val="28"/>
          <w:szCs w:val="28"/>
        </w:rPr>
        <w:t>反洗钱培训的范围，</w:t>
      </w:r>
      <w:r>
        <w:rPr>
          <w:rFonts w:hint="eastAsia" w:ascii="楷体" w:hAnsi="楷体" w:eastAsia="楷体"/>
          <w:sz w:val="28"/>
          <w:szCs w:val="28"/>
        </w:rPr>
        <w:t>总部</w:t>
      </w:r>
      <w:r>
        <w:rPr>
          <w:rFonts w:ascii="楷体" w:hAnsi="楷体" w:eastAsia="楷体"/>
          <w:sz w:val="28"/>
          <w:szCs w:val="28"/>
        </w:rPr>
        <w:t>和分支机构密切配合，</w:t>
      </w:r>
      <w:r>
        <w:rPr>
          <w:rFonts w:hint="eastAsia" w:ascii="楷体" w:hAnsi="楷体" w:eastAsia="楷体"/>
          <w:sz w:val="28"/>
          <w:szCs w:val="28"/>
        </w:rPr>
        <w:t>确保从</w:t>
      </w:r>
      <w:r>
        <w:rPr>
          <w:rFonts w:ascii="楷体" w:hAnsi="楷体" w:eastAsia="楷体"/>
          <w:sz w:val="28"/>
          <w:szCs w:val="28"/>
        </w:rPr>
        <w:t>员工到客户</w:t>
      </w:r>
      <w:r>
        <w:rPr>
          <w:rFonts w:hint="eastAsia" w:ascii="楷体" w:hAnsi="楷体" w:eastAsia="楷体"/>
          <w:sz w:val="28"/>
          <w:szCs w:val="28"/>
        </w:rPr>
        <w:t>都</w:t>
      </w:r>
      <w:r>
        <w:rPr>
          <w:rFonts w:ascii="楷体" w:hAnsi="楷体" w:eastAsia="楷体"/>
          <w:sz w:val="28"/>
          <w:szCs w:val="28"/>
        </w:rPr>
        <w:t>能</w:t>
      </w:r>
      <w:r>
        <w:rPr>
          <w:rFonts w:hint="eastAsia" w:ascii="楷体" w:hAnsi="楷体" w:eastAsia="楷体"/>
          <w:sz w:val="28"/>
          <w:szCs w:val="28"/>
        </w:rPr>
        <w:t>正确认识到</w:t>
      </w:r>
      <w:r>
        <w:rPr>
          <w:rFonts w:ascii="楷体" w:hAnsi="楷体" w:eastAsia="楷体"/>
          <w:sz w:val="28"/>
          <w:szCs w:val="28"/>
        </w:rPr>
        <w:t>反洗钱的重要性，掌握</w:t>
      </w:r>
      <w:r>
        <w:rPr>
          <w:rFonts w:hint="eastAsia" w:ascii="楷体" w:hAnsi="楷体" w:eastAsia="楷体"/>
          <w:sz w:val="28"/>
          <w:szCs w:val="28"/>
        </w:rPr>
        <w:t>必要</w:t>
      </w:r>
      <w:r>
        <w:rPr>
          <w:rFonts w:ascii="楷体" w:hAnsi="楷体" w:eastAsia="楷体"/>
          <w:sz w:val="28"/>
          <w:szCs w:val="28"/>
        </w:rPr>
        <w:t>的反洗钱技能，</w:t>
      </w:r>
      <w:r>
        <w:rPr>
          <w:rFonts w:hint="eastAsia" w:ascii="楷体" w:hAnsi="楷体" w:eastAsia="楷体"/>
          <w:sz w:val="28"/>
          <w:szCs w:val="28"/>
        </w:rPr>
        <w:t>严格</w:t>
      </w:r>
      <w:r>
        <w:rPr>
          <w:rFonts w:ascii="楷体" w:hAnsi="楷体" w:eastAsia="楷体"/>
          <w:sz w:val="28"/>
          <w:szCs w:val="28"/>
        </w:rPr>
        <w:t>履行反洗钱义务，预防</w:t>
      </w:r>
      <w:r>
        <w:rPr>
          <w:rFonts w:hint="eastAsia" w:ascii="楷体" w:hAnsi="楷体" w:eastAsia="楷体"/>
          <w:sz w:val="28"/>
          <w:szCs w:val="28"/>
        </w:rPr>
        <w:t>出现洗钱</w:t>
      </w:r>
      <w:r>
        <w:rPr>
          <w:rFonts w:ascii="楷体" w:hAnsi="楷体" w:eastAsia="楷体"/>
          <w:sz w:val="28"/>
          <w:szCs w:val="28"/>
        </w:rPr>
        <w:t>风险。</w:t>
      </w:r>
    </w:p>
    <w:p>
      <w:pPr>
        <w:ind w:firstLine="560" w:firstLineChars="200"/>
        <w:rPr>
          <w:rFonts w:ascii="楷体" w:hAnsi="楷体" w:eastAsia="楷体"/>
          <w:sz w:val="28"/>
          <w:szCs w:val="28"/>
        </w:rPr>
      </w:pPr>
      <w:r>
        <w:rPr>
          <w:rFonts w:hint="eastAsia" w:ascii="楷体" w:hAnsi="楷体" w:eastAsia="楷体"/>
          <w:sz w:val="28"/>
          <w:szCs w:val="28"/>
        </w:rPr>
        <w:t>反洗钱制度方面，公司现行的反洗钱内控制度及操作规程涵盖公司各业务条线、交易品种和支付工具等，建立了客户管理、大额交易和可疑交易报告、反洗钱培训、恐怖融资管理等各方面的制度。同时，结合近年来期货公司及外部监管提示，针对高风险领域，制定了专门的反洗钱合规管理措施。</w:t>
      </w:r>
    </w:p>
    <w:p>
      <w:pPr>
        <w:ind w:firstLine="560" w:firstLineChars="200"/>
        <w:rPr>
          <w:rFonts w:ascii="楷体" w:hAnsi="楷体" w:eastAsia="楷体"/>
          <w:sz w:val="28"/>
          <w:szCs w:val="28"/>
        </w:rPr>
      </w:pPr>
      <w:r>
        <w:rPr>
          <w:rFonts w:hint="eastAsia" w:ascii="楷体" w:hAnsi="楷体" w:eastAsia="楷体"/>
          <w:sz w:val="28"/>
          <w:szCs w:val="28"/>
        </w:rPr>
        <w:t>反洗钱宣传培训方面，国富期货2020年共组织各类反洗钱培训12次，其中3次为在上海的总部员工和部分客户反洗钱培训，4次为总部反洗钱专员分别对各分支机构的员工和部分客户代表进行的培训，5次为分支机构自主培训，以上培训取得了良好的效果。</w:t>
      </w:r>
    </w:p>
    <w:p>
      <w:pPr>
        <w:ind w:firstLine="560" w:firstLineChars="200"/>
        <w:rPr>
          <w:rFonts w:ascii="楷体" w:hAnsi="楷体" w:eastAsia="楷体"/>
          <w:sz w:val="28"/>
          <w:szCs w:val="28"/>
        </w:rPr>
      </w:pPr>
      <w:r>
        <w:rPr>
          <w:rFonts w:ascii="楷体" w:hAnsi="楷体" w:eastAsia="楷体"/>
          <w:sz w:val="28"/>
          <w:szCs w:val="28"/>
        </w:rPr>
        <w:t>公司将继续在后续的宣传、培训中引入此方法，邀请客户一起参加培训</w:t>
      </w:r>
      <w:r>
        <w:rPr>
          <w:rFonts w:hint="eastAsia" w:ascii="楷体" w:hAnsi="楷体" w:eastAsia="楷体"/>
          <w:sz w:val="28"/>
          <w:szCs w:val="28"/>
        </w:rPr>
        <w:t>，以此</w:t>
      </w:r>
      <w:r>
        <w:rPr>
          <w:rFonts w:ascii="楷体" w:hAnsi="楷体" w:eastAsia="楷体"/>
          <w:sz w:val="28"/>
          <w:szCs w:val="28"/>
        </w:rPr>
        <w:t>更好的了解客户，更加充分的帮助客户了解反洗钱、了解诚信投资。为确保培训质量，</w:t>
      </w:r>
      <w:r>
        <w:rPr>
          <w:rFonts w:hint="eastAsia" w:ascii="楷体" w:hAnsi="楷体" w:eastAsia="楷体"/>
          <w:sz w:val="28"/>
          <w:szCs w:val="28"/>
        </w:rPr>
        <w:t>国富期货</w:t>
      </w:r>
      <w:r>
        <w:rPr>
          <w:rFonts w:ascii="楷体" w:hAnsi="楷体" w:eastAsia="楷体"/>
          <w:sz w:val="28"/>
          <w:szCs w:val="28"/>
        </w:rPr>
        <w:t>在每次培训中都设置简短的测试或问答环节，以了解参训人员学习效果，从而有效的提升</w:t>
      </w:r>
      <w:r>
        <w:rPr>
          <w:rFonts w:hint="eastAsia" w:ascii="楷体" w:hAnsi="楷体" w:eastAsia="楷体"/>
          <w:sz w:val="28"/>
          <w:szCs w:val="28"/>
        </w:rPr>
        <w:t>国富期货</w:t>
      </w:r>
      <w:r>
        <w:rPr>
          <w:rFonts w:ascii="楷体" w:hAnsi="楷体" w:eastAsia="楷体"/>
          <w:sz w:val="28"/>
          <w:szCs w:val="28"/>
        </w:rPr>
        <w:t>从业人员整体素质。</w:t>
      </w:r>
    </w:p>
    <w:p>
      <w:pPr>
        <w:ind w:firstLine="560" w:firstLineChars="200"/>
        <w:rPr>
          <w:rFonts w:ascii="楷体" w:hAnsi="楷体" w:eastAsia="楷体"/>
          <w:sz w:val="28"/>
          <w:szCs w:val="28"/>
        </w:rPr>
      </w:pPr>
      <w:r>
        <w:rPr>
          <w:rFonts w:hint="eastAsia" w:ascii="楷体" w:hAnsi="楷体" w:eastAsia="楷体"/>
          <w:sz w:val="28"/>
          <w:szCs w:val="28"/>
        </w:rPr>
        <w:t>（3）公益及慈善事业</w:t>
      </w:r>
    </w:p>
    <w:p>
      <w:pPr>
        <w:ind w:firstLine="560" w:firstLineChars="200"/>
        <w:rPr>
          <w:rFonts w:ascii="楷体" w:hAnsi="楷体" w:eastAsia="楷体"/>
          <w:sz w:val="28"/>
          <w:szCs w:val="28"/>
        </w:rPr>
      </w:pPr>
      <w:r>
        <w:rPr>
          <w:rFonts w:hint="eastAsia" w:ascii="楷体" w:hAnsi="楷体" w:eastAsia="楷体"/>
          <w:sz w:val="28"/>
          <w:szCs w:val="28"/>
        </w:rPr>
        <w:t>公司积极履行企业社会责任，先后与青海玛沁县、云南孟连县、云南景谷县、河南桐柏县、云南富宁县、广西环江县等国家级贫困县签订结对帮扶协议，扶贫形式包括产业帮扶、捐资助学、消费帮扶、电商帮扶、就业帮扶等多种方式并举。另外，公司还自河北蔚县、江西宁都县、陕西延长县、甘肃礼县等贫困县采购当地农特产品，帮助更多贫困群众脱贫增收。我司的扶贫工作覆盖范围广、资金投入大、帮扶方式多样化，得到了地方政府和社会的广泛认可，多个</w:t>
      </w:r>
      <w:r>
        <w:rPr>
          <w:rFonts w:ascii="楷体" w:hAnsi="楷体" w:eastAsia="楷体"/>
          <w:sz w:val="28"/>
          <w:szCs w:val="28"/>
        </w:rPr>
        <w:t>媒体如</w:t>
      </w:r>
      <w:r>
        <w:rPr>
          <w:rFonts w:hint="eastAsia" w:ascii="楷体" w:hAnsi="楷体" w:eastAsia="楷体"/>
          <w:sz w:val="28"/>
          <w:szCs w:val="28"/>
        </w:rPr>
        <w:t>劳动报、新民晚报等社会媒体均进行了相关宣传报道。公司的帮扶项目也得到了各权威媒体与官方网站的积极肯定。</w:t>
      </w:r>
    </w:p>
    <w:p>
      <w:pPr>
        <w:ind w:firstLine="560" w:firstLineChars="200"/>
        <w:rPr>
          <w:rFonts w:ascii="楷体" w:hAnsi="楷体" w:eastAsia="楷体"/>
          <w:sz w:val="28"/>
          <w:szCs w:val="28"/>
        </w:rPr>
      </w:pPr>
      <w:r>
        <w:rPr>
          <w:rFonts w:hint="eastAsia" w:ascii="楷体" w:hAnsi="楷体" w:eastAsia="楷体"/>
          <w:sz w:val="28"/>
          <w:szCs w:val="28"/>
        </w:rPr>
        <w:t>（4）志愿者服务</w:t>
      </w:r>
    </w:p>
    <w:p>
      <w:pPr>
        <w:ind w:firstLine="560" w:firstLineChars="200"/>
        <w:rPr>
          <w:rFonts w:ascii="楷体" w:hAnsi="楷体" w:eastAsia="楷体"/>
          <w:sz w:val="28"/>
          <w:szCs w:val="28"/>
        </w:rPr>
      </w:pPr>
      <w:r>
        <w:rPr>
          <w:rFonts w:ascii="楷体" w:hAnsi="楷体" w:eastAsia="楷体"/>
          <w:sz w:val="28"/>
          <w:szCs w:val="28"/>
        </w:rPr>
        <w:t>20</w:t>
      </w:r>
      <w:r>
        <w:rPr>
          <w:rFonts w:hint="eastAsia" w:ascii="楷体" w:hAnsi="楷体" w:eastAsia="楷体"/>
          <w:sz w:val="28"/>
          <w:szCs w:val="28"/>
        </w:rPr>
        <w:t>20年国富期货有限公司党支部</w:t>
      </w:r>
      <w:r>
        <w:rPr>
          <w:rFonts w:ascii="楷体" w:hAnsi="楷体" w:eastAsia="楷体"/>
          <w:sz w:val="28"/>
          <w:szCs w:val="28"/>
        </w:rPr>
        <w:t>积极</w:t>
      </w:r>
      <w:r>
        <w:rPr>
          <w:rFonts w:hint="eastAsia" w:ascii="楷体" w:hAnsi="楷体" w:eastAsia="楷体"/>
          <w:sz w:val="28"/>
          <w:szCs w:val="28"/>
        </w:rPr>
        <w:t>组织</w:t>
      </w:r>
      <w:r>
        <w:rPr>
          <w:rFonts w:ascii="楷体" w:hAnsi="楷体" w:eastAsia="楷体"/>
          <w:sz w:val="28"/>
          <w:szCs w:val="28"/>
        </w:rPr>
        <w:t>公司</w:t>
      </w:r>
      <w:r>
        <w:rPr>
          <w:rFonts w:hint="eastAsia" w:ascii="楷体" w:hAnsi="楷体" w:eastAsia="楷体"/>
          <w:sz w:val="28"/>
          <w:szCs w:val="28"/>
        </w:rPr>
        <w:t>的</w:t>
      </w:r>
      <w:r>
        <w:rPr>
          <w:rFonts w:ascii="楷体" w:hAnsi="楷体" w:eastAsia="楷体"/>
          <w:sz w:val="28"/>
          <w:szCs w:val="28"/>
        </w:rPr>
        <w:t>共产党员参与</w:t>
      </w:r>
      <w:r>
        <w:rPr>
          <w:rFonts w:hint="eastAsia" w:ascii="楷体" w:hAnsi="楷体" w:eastAsia="楷体"/>
          <w:sz w:val="28"/>
          <w:szCs w:val="28"/>
        </w:rPr>
        <w:t>公益</w:t>
      </w:r>
      <w:r>
        <w:rPr>
          <w:rFonts w:ascii="楷体" w:hAnsi="楷体" w:eastAsia="楷体"/>
          <w:sz w:val="28"/>
          <w:szCs w:val="28"/>
        </w:rPr>
        <w:t>及志愿者服务</w:t>
      </w:r>
      <w:r>
        <w:rPr>
          <w:rFonts w:hint="eastAsia" w:ascii="楷体" w:hAnsi="楷体" w:eastAsia="楷体"/>
          <w:sz w:val="28"/>
          <w:szCs w:val="28"/>
        </w:rPr>
        <w:t>活动。</w:t>
      </w:r>
    </w:p>
    <w:p>
      <w:pPr>
        <w:spacing w:line="720" w:lineRule="auto"/>
        <w:rPr>
          <w:rFonts w:ascii="楷体" w:hAnsi="楷体" w:eastAsia="楷体"/>
          <w:b/>
          <w:bCs/>
          <w:sz w:val="28"/>
          <w:szCs w:val="28"/>
        </w:rPr>
      </w:pPr>
      <w:bookmarkStart w:id="139" w:name="_Toc11728"/>
      <w:bookmarkStart w:id="140" w:name="_Toc28271"/>
      <w:bookmarkStart w:id="141" w:name="_Toc21876"/>
      <w:bookmarkStart w:id="142" w:name="_Toc12887"/>
      <w:bookmarkStart w:id="143" w:name="_Toc3547"/>
      <w:r>
        <w:rPr>
          <w:rFonts w:hint="eastAsia" w:ascii="楷体" w:hAnsi="楷体" w:eastAsia="楷体"/>
          <w:b/>
          <w:bCs/>
          <w:sz w:val="28"/>
          <w:szCs w:val="28"/>
        </w:rPr>
        <w:t>六</w:t>
      </w:r>
      <w:r>
        <w:rPr>
          <w:rFonts w:ascii="楷体" w:hAnsi="楷体" w:eastAsia="楷体"/>
          <w:b/>
          <w:bCs/>
          <w:sz w:val="28"/>
          <w:szCs w:val="28"/>
        </w:rPr>
        <w:t>、</w:t>
      </w:r>
      <w:r>
        <w:rPr>
          <w:rFonts w:hint="eastAsia" w:ascii="楷体" w:hAnsi="楷体" w:eastAsia="楷体"/>
          <w:b/>
          <w:bCs/>
          <w:sz w:val="28"/>
          <w:szCs w:val="28"/>
        </w:rPr>
        <w:t>环境责任与业绩</w:t>
      </w:r>
      <w:bookmarkEnd w:id="139"/>
      <w:bookmarkEnd w:id="140"/>
      <w:bookmarkEnd w:id="141"/>
      <w:bookmarkEnd w:id="142"/>
      <w:bookmarkEnd w:id="143"/>
    </w:p>
    <w:p>
      <w:pPr>
        <w:ind w:firstLine="560" w:firstLineChars="200"/>
        <w:rPr>
          <w:rFonts w:hint="eastAsia" w:ascii="楷体" w:hAnsi="楷体" w:eastAsia="楷体"/>
          <w:sz w:val="28"/>
          <w:szCs w:val="28"/>
          <w:lang w:val="en-US" w:eastAsia="zh-CN"/>
        </w:rPr>
      </w:pPr>
      <w:r>
        <w:rPr>
          <w:rFonts w:hint="eastAsia" w:ascii="楷体" w:hAnsi="楷体" w:eastAsia="楷体"/>
          <w:sz w:val="28"/>
          <w:szCs w:val="28"/>
        </w:rPr>
        <w:t>公司在办公场所坚持使用符合国家标准的环保材料，广泛采用节能灯具；在满足使用要求的前提下，尽量延长装修和设备的使用寿命。同时，公司还重视加强内部节能减排管理，不断优化办公环境管理制度和流程。</w:t>
      </w:r>
      <w:r>
        <w:rPr>
          <w:rFonts w:hint="eastAsia" w:ascii="楷体" w:hAnsi="楷体" w:eastAsia="楷体"/>
          <w:sz w:val="28"/>
          <w:szCs w:val="28"/>
          <w:lang w:val="en-US" w:eastAsia="zh-CN"/>
        </w:rPr>
        <w:t>2020年度，公司据员工及场地实际需求，退租了部分办公面积，提高了办公场地的利用效率，也为公司减少了不必要的成本支出与资源浪费。</w:t>
      </w:r>
    </w:p>
    <w:p>
      <w:pPr>
        <w:ind w:firstLine="560" w:firstLineChars="200"/>
        <w:rPr>
          <w:rFonts w:ascii="楷体" w:hAnsi="楷体" w:eastAsia="楷体"/>
          <w:sz w:val="28"/>
          <w:szCs w:val="28"/>
        </w:rPr>
      </w:pPr>
      <w:r>
        <w:rPr>
          <w:rFonts w:hint="eastAsia" w:ascii="楷体" w:hAnsi="楷体" w:eastAsia="楷体"/>
          <w:sz w:val="28"/>
          <w:szCs w:val="28"/>
        </w:rPr>
        <w:t>公司在管理上节约成本、降低能耗、充分利用信息共享资源，推行无纸化办公，建立起包括办公系统、电话会议系统、视频会议系统等电子化网络化运营模式，利用现代信息技术手段，推进节约型社会建设。通过系统运作，大量节省纸张耗费、通信费用和邮寄费用。不断提高企业和员工的环保意识，从节约每度电、每滴水、每张纸开始，尽量降低对能源的消耗，有效保护环境，实现可持续发展。</w:t>
      </w:r>
    </w:p>
    <w:p>
      <w:pPr>
        <w:ind w:firstLine="560" w:firstLineChars="200"/>
        <w:rPr>
          <w:rFonts w:ascii="楷体" w:hAnsi="楷体" w:eastAsia="楷体"/>
          <w:sz w:val="28"/>
          <w:szCs w:val="28"/>
        </w:rPr>
      </w:pPr>
      <w:r>
        <w:rPr>
          <w:rFonts w:hint="eastAsia" w:ascii="楷体" w:hAnsi="楷体" w:eastAsia="楷体"/>
          <w:sz w:val="28"/>
          <w:szCs w:val="28"/>
        </w:rPr>
        <w:t>展望未来，国富期货将持续注重股东的资本增值和企业价值提升，依靠公司前瞻性的战略能力和对市场行业的精准把握，积极开拓业务领域和市场，实现公司的健康稳定可持续发展，以更加优异的业绩，回馈社会，回报股东，促进公司与社会和谐、协调发展。</w:t>
      </w:r>
    </w:p>
    <w:p>
      <w:pPr>
        <w:ind w:firstLine="560" w:firstLineChars="200"/>
        <w:jc w:val="right"/>
        <w:rPr>
          <w:rFonts w:ascii="楷体" w:hAnsi="楷体" w:eastAsia="楷体"/>
          <w:sz w:val="28"/>
          <w:szCs w:val="28"/>
        </w:rPr>
      </w:pPr>
    </w:p>
    <w:p>
      <w:pPr>
        <w:ind w:firstLine="560" w:firstLineChars="200"/>
        <w:jc w:val="right"/>
        <w:rPr>
          <w:rFonts w:ascii="楷体" w:hAnsi="楷体" w:eastAsia="楷体"/>
          <w:sz w:val="28"/>
          <w:szCs w:val="28"/>
        </w:rPr>
      </w:pPr>
    </w:p>
    <w:p>
      <w:pPr>
        <w:ind w:firstLine="560" w:firstLineChars="200"/>
        <w:jc w:val="right"/>
        <w:rPr>
          <w:rFonts w:ascii="楷体" w:hAnsi="楷体" w:eastAsia="楷体"/>
          <w:sz w:val="28"/>
          <w:szCs w:val="28"/>
        </w:rPr>
      </w:pPr>
    </w:p>
    <w:p>
      <w:pPr>
        <w:ind w:firstLine="560" w:firstLineChars="200"/>
        <w:jc w:val="right"/>
        <w:rPr>
          <w:rFonts w:ascii="楷体" w:hAnsi="楷体" w:eastAsia="楷体"/>
          <w:sz w:val="28"/>
          <w:szCs w:val="28"/>
        </w:rPr>
      </w:pPr>
    </w:p>
    <w:p>
      <w:pPr>
        <w:ind w:firstLine="560" w:firstLineChars="200"/>
        <w:jc w:val="right"/>
        <w:rPr>
          <w:rFonts w:ascii="楷体" w:hAnsi="楷体" w:eastAsia="楷体"/>
          <w:sz w:val="28"/>
          <w:szCs w:val="28"/>
        </w:rPr>
      </w:pPr>
      <w:r>
        <w:rPr>
          <w:rFonts w:hint="eastAsia" w:ascii="楷体" w:hAnsi="楷体" w:eastAsia="楷体"/>
          <w:sz w:val="28"/>
          <w:szCs w:val="28"/>
        </w:rPr>
        <w:t>国富期货有限公司</w:t>
      </w:r>
    </w:p>
    <w:p>
      <w:pPr>
        <w:ind w:firstLine="560" w:firstLineChars="200"/>
        <w:jc w:val="right"/>
        <w:rPr>
          <w:rFonts w:ascii="楷体" w:hAnsi="楷体" w:eastAsia="楷体"/>
          <w:sz w:val="28"/>
          <w:szCs w:val="28"/>
        </w:rPr>
      </w:pPr>
      <w:r>
        <w:rPr>
          <w:rFonts w:hint="eastAsia" w:ascii="楷体" w:hAnsi="楷体" w:eastAsia="楷体"/>
          <w:sz w:val="28"/>
          <w:szCs w:val="28"/>
        </w:rPr>
        <w:t>2021年4月30日</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30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30</w:t>
                    </w:r>
                    <w:r>
                      <w:rPr>
                        <w:rFonts w:hint="eastAsia"/>
                      </w:rPr>
                      <w:fldChar w:fldCharType="end"/>
                    </w:r>
                    <w:r>
                      <w:rPr>
                        <w:rFonts w:hint="eastAsia"/>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21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21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楷体" w:hAnsi="楷体" w:eastAsia="楷体"/>
        <w:sz w:val="21"/>
      </w:rPr>
    </w:pPr>
    <w:r>
      <w:rPr>
        <w:rFonts w:hint="eastAsia" w:ascii="楷体" w:hAnsi="楷体" w:eastAsia="楷体"/>
        <w:sz w:val="21"/>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071495" cy="800100"/>
          <wp:effectExtent l="0" t="0" r="14605" b="0"/>
          <wp:wrapNone/>
          <wp:docPr id="5" name="WordPictureWatermark6446102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644610220" descr="logo"/>
                  <pic:cNvPicPr>
                    <a:picLocks noChangeAspect="1"/>
                  </pic:cNvPicPr>
                </pic:nvPicPr>
                <pic:blipFill>
                  <a:blip r:embed="rId1">
                    <a:lum bright="70001" contrast="-70000"/>
                  </a:blip>
                  <a:stretch>
                    <a:fillRect/>
                  </a:stretch>
                </pic:blipFill>
                <pic:spPr>
                  <a:xfrm>
                    <a:off x="0" y="0"/>
                    <a:ext cx="3071495" cy="8001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071495" cy="800100"/>
          <wp:effectExtent l="0" t="0" r="14605" b="0"/>
          <wp:wrapNone/>
          <wp:docPr id="4" name="WordPictureWatermark6446102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644610219" descr="logo"/>
                  <pic:cNvPicPr>
                    <a:picLocks noChangeAspect="1"/>
                  </pic:cNvPicPr>
                </pic:nvPicPr>
                <pic:blipFill>
                  <a:blip r:embed="rId1">
                    <a:lum bright="70001" contrast="-70000"/>
                  </a:blip>
                  <a:stretch>
                    <a:fillRect/>
                  </a:stretch>
                </pic:blipFill>
                <pic:spPr>
                  <a:xfrm>
                    <a:off x="0" y="0"/>
                    <a:ext cx="3071495" cy="8001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rPr>
        <w:rFonts w:ascii="楷体" w:hAnsi="楷体" w:eastAsia="楷体"/>
        <w:sz w:val="21"/>
      </w:rPr>
    </w:pPr>
    <w:r>
      <w:rPr>
        <w:rFonts w:hint="eastAsia" w:ascii="楷体" w:hAnsi="楷体" w:eastAsia="楷体"/>
        <w:sz w:val="21"/>
      </w:rPr>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3071495" cy="800100"/>
          <wp:effectExtent l="0" t="0" r="14605" b="0"/>
          <wp:wrapNone/>
          <wp:docPr id="2" name="WordPictureWatermark6446102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44610220" descr="logo"/>
                  <pic:cNvPicPr>
                    <a:picLocks noChangeAspect="1"/>
                  </pic:cNvPicPr>
                </pic:nvPicPr>
                <pic:blipFill>
                  <a:blip r:embed="rId1">
                    <a:lum bright="70001" contrast="-70000"/>
                  </a:blip>
                  <a:stretch>
                    <a:fillRect/>
                  </a:stretch>
                </pic:blipFill>
                <pic:spPr>
                  <a:xfrm>
                    <a:off x="0" y="0"/>
                    <a:ext cx="3071495" cy="800100"/>
                  </a:xfrm>
                  <a:prstGeom prst="rect">
                    <a:avLst/>
                  </a:prstGeom>
                  <a:noFill/>
                  <a:ln>
                    <a:noFill/>
                  </a:ln>
                </pic:spPr>
              </pic:pic>
            </a:graphicData>
          </a:graphic>
        </wp:anchor>
      </w:drawing>
    </w:r>
    <w:r>
      <w:rPr>
        <w:rFonts w:hint="eastAsia" w:ascii="楷体" w:hAnsi="楷体" w:eastAsia="楷体"/>
        <w:sz w:val="21"/>
      </w:rPr>
      <w:t>国富期货有限公司2020年</w:t>
    </w:r>
    <w:r>
      <w:rPr>
        <w:rFonts w:ascii="楷体" w:hAnsi="楷体" w:eastAsia="楷体"/>
        <w:sz w:val="21"/>
      </w:rPr>
      <w:t>社会责任报告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AEB70"/>
    <w:multiLevelType w:val="singleLevel"/>
    <w:tmpl w:val="BCCAEB70"/>
    <w:lvl w:ilvl="0" w:tentative="0">
      <w:start w:val="3"/>
      <w:numFmt w:val="decimal"/>
      <w:suff w:val="nothing"/>
      <w:lvlText w:val="（%1）"/>
      <w:lvlJc w:val="left"/>
    </w:lvl>
  </w:abstractNum>
  <w:abstractNum w:abstractNumId="1">
    <w:nsid w:val="1E11793C"/>
    <w:multiLevelType w:val="singleLevel"/>
    <w:tmpl w:val="1E11793C"/>
    <w:lvl w:ilvl="0" w:tentative="0">
      <w:start w:val="1"/>
      <w:numFmt w:val="decimal"/>
      <w:suff w:val="nothing"/>
      <w:lvlText w:val="（%1）"/>
      <w:lvlJc w:val="left"/>
    </w:lvl>
  </w:abstractNum>
  <w:abstractNum w:abstractNumId="2">
    <w:nsid w:val="68E053A5"/>
    <w:multiLevelType w:val="singleLevel"/>
    <w:tmpl w:val="68E053A5"/>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94"/>
    <w:rsid w:val="00004972"/>
    <w:rsid w:val="00015A3A"/>
    <w:rsid w:val="00016EB0"/>
    <w:rsid w:val="00022108"/>
    <w:rsid w:val="00031D57"/>
    <w:rsid w:val="0003236D"/>
    <w:rsid w:val="000364AC"/>
    <w:rsid w:val="00047465"/>
    <w:rsid w:val="00047DD4"/>
    <w:rsid w:val="00050784"/>
    <w:rsid w:val="00055BA9"/>
    <w:rsid w:val="00055D84"/>
    <w:rsid w:val="000678EE"/>
    <w:rsid w:val="00075126"/>
    <w:rsid w:val="00076364"/>
    <w:rsid w:val="00085A49"/>
    <w:rsid w:val="00086442"/>
    <w:rsid w:val="000A55A0"/>
    <w:rsid w:val="000C6A91"/>
    <w:rsid w:val="000C6CD3"/>
    <w:rsid w:val="000D206D"/>
    <w:rsid w:val="001018AE"/>
    <w:rsid w:val="0011244D"/>
    <w:rsid w:val="00114810"/>
    <w:rsid w:val="00127200"/>
    <w:rsid w:val="0013207A"/>
    <w:rsid w:val="001332DF"/>
    <w:rsid w:val="001348C0"/>
    <w:rsid w:val="0013596E"/>
    <w:rsid w:val="00140179"/>
    <w:rsid w:val="00147B9E"/>
    <w:rsid w:val="001672AB"/>
    <w:rsid w:val="001773F5"/>
    <w:rsid w:val="00183AE4"/>
    <w:rsid w:val="00185061"/>
    <w:rsid w:val="001E32CC"/>
    <w:rsid w:val="001F386D"/>
    <w:rsid w:val="00202A0A"/>
    <w:rsid w:val="0020576A"/>
    <w:rsid w:val="002142A1"/>
    <w:rsid w:val="002157AF"/>
    <w:rsid w:val="00217981"/>
    <w:rsid w:val="002603A1"/>
    <w:rsid w:val="00265E99"/>
    <w:rsid w:val="002774C7"/>
    <w:rsid w:val="00294C95"/>
    <w:rsid w:val="002A3157"/>
    <w:rsid w:val="002A686A"/>
    <w:rsid w:val="002B2AD3"/>
    <w:rsid w:val="002B5143"/>
    <w:rsid w:val="002D4BAC"/>
    <w:rsid w:val="00322718"/>
    <w:rsid w:val="00335BDB"/>
    <w:rsid w:val="003523CE"/>
    <w:rsid w:val="0035256E"/>
    <w:rsid w:val="00352929"/>
    <w:rsid w:val="003540AE"/>
    <w:rsid w:val="00362C4F"/>
    <w:rsid w:val="00364079"/>
    <w:rsid w:val="00364377"/>
    <w:rsid w:val="0036697A"/>
    <w:rsid w:val="00390AC1"/>
    <w:rsid w:val="00396EF2"/>
    <w:rsid w:val="003A476B"/>
    <w:rsid w:val="003D1524"/>
    <w:rsid w:val="0040332E"/>
    <w:rsid w:val="004141C4"/>
    <w:rsid w:val="00415151"/>
    <w:rsid w:val="004178DF"/>
    <w:rsid w:val="0042154E"/>
    <w:rsid w:val="00434CF9"/>
    <w:rsid w:val="00437734"/>
    <w:rsid w:val="00473A3B"/>
    <w:rsid w:val="00495671"/>
    <w:rsid w:val="0049605F"/>
    <w:rsid w:val="004A67FA"/>
    <w:rsid w:val="004D4978"/>
    <w:rsid w:val="004F6460"/>
    <w:rsid w:val="005015D1"/>
    <w:rsid w:val="00503F58"/>
    <w:rsid w:val="00514748"/>
    <w:rsid w:val="005238DD"/>
    <w:rsid w:val="005311D9"/>
    <w:rsid w:val="005403C7"/>
    <w:rsid w:val="00542D44"/>
    <w:rsid w:val="00546B52"/>
    <w:rsid w:val="0055474D"/>
    <w:rsid w:val="00562957"/>
    <w:rsid w:val="00575D98"/>
    <w:rsid w:val="00583CE0"/>
    <w:rsid w:val="005A7E50"/>
    <w:rsid w:val="005B4C75"/>
    <w:rsid w:val="005D017C"/>
    <w:rsid w:val="005E7201"/>
    <w:rsid w:val="006202CD"/>
    <w:rsid w:val="00624EC0"/>
    <w:rsid w:val="00634633"/>
    <w:rsid w:val="0065155B"/>
    <w:rsid w:val="00653C4D"/>
    <w:rsid w:val="006654CA"/>
    <w:rsid w:val="006656A9"/>
    <w:rsid w:val="0066783D"/>
    <w:rsid w:val="0068057F"/>
    <w:rsid w:val="0069082B"/>
    <w:rsid w:val="006A2B2E"/>
    <w:rsid w:val="006A565B"/>
    <w:rsid w:val="006A56EA"/>
    <w:rsid w:val="006B1852"/>
    <w:rsid w:val="006B7FDD"/>
    <w:rsid w:val="006C01B5"/>
    <w:rsid w:val="006C70BC"/>
    <w:rsid w:val="006E1A1B"/>
    <w:rsid w:val="006F2F83"/>
    <w:rsid w:val="00700013"/>
    <w:rsid w:val="00707BA0"/>
    <w:rsid w:val="0071784E"/>
    <w:rsid w:val="00727E70"/>
    <w:rsid w:val="00761510"/>
    <w:rsid w:val="00765BDF"/>
    <w:rsid w:val="0078431F"/>
    <w:rsid w:val="007867E3"/>
    <w:rsid w:val="00787F55"/>
    <w:rsid w:val="007913E4"/>
    <w:rsid w:val="007962F7"/>
    <w:rsid w:val="007A5EED"/>
    <w:rsid w:val="007B1056"/>
    <w:rsid w:val="007D5156"/>
    <w:rsid w:val="00810F66"/>
    <w:rsid w:val="00817454"/>
    <w:rsid w:val="00835E4C"/>
    <w:rsid w:val="00850769"/>
    <w:rsid w:val="00854776"/>
    <w:rsid w:val="00855CBE"/>
    <w:rsid w:val="00864540"/>
    <w:rsid w:val="00865085"/>
    <w:rsid w:val="008957EE"/>
    <w:rsid w:val="008A41EE"/>
    <w:rsid w:val="008C6B33"/>
    <w:rsid w:val="008D1FF3"/>
    <w:rsid w:val="008E1C78"/>
    <w:rsid w:val="008F16A0"/>
    <w:rsid w:val="009053DC"/>
    <w:rsid w:val="0091587A"/>
    <w:rsid w:val="0092797C"/>
    <w:rsid w:val="009340A9"/>
    <w:rsid w:val="009347CA"/>
    <w:rsid w:val="00942D01"/>
    <w:rsid w:val="00960A9E"/>
    <w:rsid w:val="00961A76"/>
    <w:rsid w:val="00962D1E"/>
    <w:rsid w:val="00963FE3"/>
    <w:rsid w:val="009640B5"/>
    <w:rsid w:val="009824BE"/>
    <w:rsid w:val="009B6403"/>
    <w:rsid w:val="009C7DE7"/>
    <w:rsid w:val="009D621E"/>
    <w:rsid w:val="009D7E7A"/>
    <w:rsid w:val="009F0BBF"/>
    <w:rsid w:val="009F6E59"/>
    <w:rsid w:val="00A015AE"/>
    <w:rsid w:val="00A172F6"/>
    <w:rsid w:val="00A27EBA"/>
    <w:rsid w:val="00A55756"/>
    <w:rsid w:val="00A606C2"/>
    <w:rsid w:val="00A609F8"/>
    <w:rsid w:val="00A93912"/>
    <w:rsid w:val="00AA59B1"/>
    <w:rsid w:val="00AA67FD"/>
    <w:rsid w:val="00AB5195"/>
    <w:rsid w:val="00AB7E18"/>
    <w:rsid w:val="00AE0D0D"/>
    <w:rsid w:val="00AE1AC3"/>
    <w:rsid w:val="00AF6294"/>
    <w:rsid w:val="00AF74FA"/>
    <w:rsid w:val="00B07E9C"/>
    <w:rsid w:val="00B105BA"/>
    <w:rsid w:val="00B169B4"/>
    <w:rsid w:val="00B26502"/>
    <w:rsid w:val="00B451BD"/>
    <w:rsid w:val="00B45A6B"/>
    <w:rsid w:val="00B71758"/>
    <w:rsid w:val="00B7216A"/>
    <w:rsid w:val="00B76775"/>
    <w:rsid w:val="00B80C57"/>
    <w:rsid w:val="00B9007D"/>
    <w:rsid w:val="00B96123"/>
    <w:rsid w:val="00BA5BEA"/>
    <w:rsid w:val="00BC5581"/>
    <w:rsid w:val="00BC723F"/>
    <w:rsid w:val="00BE106A"/>
    <w:rsid w:val="00BF0D25"/>
    <w:rsid w:val="00BF1EAA"/>
    <w:rsid w:val="00BF7322"/>
    <w:rsid w:val="00BF7553"/>
    <w:rsid w:val="00C05C2C"/>
    <w:rsid w:val="00C14628"/>
    <w:rsid w:val="00C27B80"/>
    <w:rsid w:val="00C3236B"/>
    <w:rsid w:val="00C32C18"/>
    <w:rsid w:val="00C400AC"/>
    <w:rsid w:val="00C66921"/>
    <w:rsid w:val="00C73869"/>
    <w:rsid w:val="00C940E7"/>
    <w:rsid w:val="00CB2460"/>
    <w:rsid w:val="00CB359B"/>
    <w:rsid w:val="00CF2E5A"/>
    <w:rsid w:val="00D01BD1"/>
    <w:rsid w:val="00D35684"/>
    <w:rsid w:val="00D35CCB"/>
    <w:rsid w:val="00D370E3"/>
    <w:rsid w:val="00D41CE9"/>
    <w:rsid w:val="00D64FB4"/>
    <w:rsid w:val="00D756F3"/>
    <w:rsid w:val="00D760FD"/>
    <w:rsid w:val="00D76190"/>
    <w:rsid w:val="00D87CEF"/>
    <w:rsid w:val="00D901CD"/>
    <w:rsid w:val="00DA0C06"/>
    <w:rsid w:val="00DB25FD"/>
    <w:rsid w:val="00DB3CF7"/>
    <w:rsid w:val="00DC66C5"/>
    <w:rsid w:val="00DC718E"/>
    <w:rsid w:val="00DD0B03"/>
    <w:rsid w:val="00DD261A"/>
    <w:rsid w:val="00DE3D68"/>
    <w:rsid w:val="00E03EC2"/>
    <w:rsid w:val="00E24261"/>
    <w:rsid w:val="00E24AA3"/>
    <w:rsid w:val="00E35FE4"/>
    <w:rsid w:val="00E37871"/>
    <w:rsid w:val="00E50F10"/>
    <w:rsid w:val="00E60506"/>
    <w:rsid w:val="00E61192"/>
    <w:rsid w:val="00E61857"/>
    <w:rsid w:val="00E61C27"/>
    <w:rsid w:val="00E637A5"/>
    <w:rsid w:val="00E657CA"/>
    <w:rsid w:val="00E72E5F"/>
    <w:rsid w:val="00E73CFA"/>
    <w:rsid w:val="00E76246"/>
    <w:rsid w:val="00EA3F92"/>
    <w:rsid w:val="00EA7341"/>
    <w:rsid w:val="00EB2205"/>
    <w:rsid w:val="00EB2A24"/>
    <w:rsid w:val="00EB3509"/>
    <w:rsid w:val="00EB40F9"/>
    <w:rsid w:val="00ED698C"/>
    <w:rsid w:val="00EE152C"/>
    <w:rsid w:val="00EE2BEB"/>
    <w:rsid w:val="00EE68B4"/>
    <w:rsid w:val="00EF12E8"/>
    <w:rsid w:val="00F02FDE"/>
    <w:rsid w:val="00F10BF9"/>
    <w:rsid w:val="00F13DDC"/>
    <w:rsid w:val="00F27A38"/>
    <w:rsid w:val="00F44E51"/>
    <w:rsid w:val="00F620F2"/>
    <w:rsid w:val="00F7559B"/>
    <w:rsid w:val="00F80647"/>
    <w:rsid w:val="00F863D4"/>
    <w:rsid w:val="00F91E98"/>
    <w:rsid w:val="00FA165D"/>
    <w:rsid w:val="00FA1B91"/>
    <w:rsid w:val="00FA3174"/>
    <w:rsid w:val="00FC5A4C"/>
    <w:rsid w:val="00FF426C"/>
    <w:rsid w:val="020F1883"/>
    <w:rsid w:val="02E21DF5"/>
    <w:rsid w:val="03361523"/>
    <w:rsid w:val="03683588"/>
    <w:rsid w:val="03ED2C95"/>
    <w:rsid w:val="04B156ED"/>
    <w:rsid w:val="04C01206"/>
    <w:rsid w:val="05385CBF"/>
    <w:rsid w:val="05B41E50"/>
    <w:rsid w:val="05BE0A3D"/>
    <w:rsid w:val="073B7632"/>
    <w:rsid w:val="073C5462"/>
    <w:rsid w:val="08C767A6"/>
    <w:rsid w:val="08D54780"/>
    <w:rsid w:val="0A01190F"/>
    <w:rsid w:val="0B0860B2"/>
    <w:rsid w:val="0B9A4D9A"/>
    <w:rsid w:val="0B9D694D"/>
    <w:rsid w:val="0C1300C5"/>
    <w:rsid w:val="0D6B266A"/>
    <w:rsid w:val="0D7F0F95"/>
    <w:rsid w:val="0EA96767"/>
    <w:rsid w:val="0F70596B"/>
    <w:rsid w:val="0FDA1FEE"/>
    <w:rsid w:val="10316E25"/>
    <w:rsid w:val="113D06D2"/>
    <w:rsid w:val="11BC5155"/>
    <w:rsid w:val="129B334E"/>
    <w:rsid w:val="129D6472"/>
    <w:rsid w:val="13717999"/>
    <w:rsid w:val="153E09E0"/>
    <w:rsid w:val="15820061"/>
    <w:rsid w:val="159E2D1C"/>
    <w:rsid w:val="15F16A1F"/>
    <w:rsid w:val="16446018"/>
    <w:rsid w:val="16712223"/>
    <w:rsid w:val="16E34ED6"/>
    <w:rsid w:val="18047A7B"/>
    <w:rsid w:val="19113732"/>
    <w:rsid w:val="1A2D4EFF"/>
    <w:rsid w:val="1A3E1CE7"/>
    <w:rsid w:val="1AC56AA6"/>
    <w:rsid w:val="1C52625B"/>
    <w:rsid w:val="1C8E54F6"/>
    <w:rsid w:val="1DD07DB8"/>
    <w:rsid w:val="1FA16028"/>
    <w:rsid w:val="1FBF099B"/>
    <w:rsid w:val="202B630E"/>
    <w:rsid w:val="207923BF"/>
    <w:rsid w:val="21257C7C"/>
    <w:rsid w:val="21B20C66"/>
    <w:rsid w:val="21B550A7"/>
    <w:rsid w:val="22636DDA"/>
    <w:rsid w:val="23566FFE"/>
    <w:rsid w:val="244A79D6"/>
    <w:rsid w:val="24F94251"/>
    <w:rsid w:val="25EA0B6B"/>
    <w:rsid w:val="26191C8D"/>
    <w:rsid w:val="26ED0DA8"/>
    <w:rsid w:val="28660163"/>
    <w:rsid w:val="28E3717B"/>
    <w:rsid w:val="290A7227"/>
    <w:rsid w:val="2A977105"/>
    <w:rsid w:val="2B552614"/>
    <w:rsid w:val="2B6E64B9"/>
    <w:rsid w:val="2BE13C13"/>
    <w:rsid w:val="2C5E3D26"/>
    <w:rsid w:val="2D333431"/>
    <w:rsid w:val="2D600F82"/>
    <w:rsid w:val="2D87394E"/>
    <w:rsid w:val="2E034592"/>
    <w:rsid w:val="2EAC2E9D"/>
    <w:rsid w:val="2EFB7881"/>
    <w:rsid w:val="305A737C"/>
    <w:rsid w:val="308F0CA3"/>
    <w:rsid w:val="310D1D15"/>
    <w:rsid w:val="31BD7320"/>
    <w:rsid w:val="3223678C"/>
    <w:rsid w:val="32793BEF"/>
    <w:rsid w:val="32D36228"/>
    <w:rsid w:val="33377FD9"/>
    <w:rsid w:val="349A4D0C"/>
    <w:rsid w:val="353E49D2"/>
    <w:rsid w:val="388E58E6"/>
    <w:rsid w:val="38A70F5D"/>
    <w:rsid w:val="39894315"/>
    <w:rsid w:val="3A092DF3"/>
    <w:rsid w:val="3AF23C3D"/>
    <w:rsid w:val="3C0A1298"/>
    <w:rsid w:val="3CCD088E"/>
    <w:rsid w:val="3D16589D"/>
    <w:rsid w:val="3DA9187E"/>
    <w:rsid w:val="405E649F"/>
    <w:rsid w:val="40C059C2"/>
    <w:rsid w:val="40C51CEF"/>
    <w:rsid w:val="40E6137C"/>
    <w:rsid w:val="419247A3"/>
    <w:rsid w:val="44071C57"/>
    <w:rsid w:val="44DB3D33"/>
    <w:rsid w:val="450A2025"/>
    <w:rsid w:val="467119AB"/>
    <w:rsid w:val="46EA5ED6"/>
    <w:rsid w:val="47DC39AF"/>
    <w:rsid w:val="47F96AC4"/>
    <w:rsid w:val="4817738C"/>
    <w:rsid w:val="481C4AD2"/>
    <w:rsid w:val="482A5188"/>
    <w:rsid w:val="49FB5B0A"/>
    <w:rsid w:val="4A9C56DB"/>
    <w:rsid w:val="4C030650"/>
    <w:rsid w:val="4C445679"/>
    <w:rsid w:val="4C987900"/>
    <w:rsid w:val="4DD96ED8"/>
    <w:rsid w:val="4EB92E70"/>
    <w:rsid w:val="4EC34E3B"/>
    <w:rsid w:val="506B0F77"/>
    <w:rsid w:val="514025AB"/>
    <w:rsid w:val="51C4555B"/>
    <w:rsid w:val="525228D1"/>
    <w:rsid w:val="52BD2FDB"/>
    <w:rsid w:val="52E73A6A"/>
    <w:rsid w:val="535511BC"/>
    <w:rsid w:val="53C3397D"/>
    <w:rsid w:val="53DF0901"/>
    <w:rsid w:val="544062FE"/>
    <w:rsid w:val="54515E97"/>
    <w:rsid w:val="545C0154"/>
    <w:rsid w:val="55511AB4"/>
    <w:rsid w:val="55E739A3"/>
    <w:rsid w:val="56051813"/>
    <w:rsid w:val="56E5413C"/>
    <w:rsid w:val="5722357B"/>
    <w:rsid w:val="577C35C9"/>
    <w:rsid w:val="5958296A"/>
    <w:rsid w:val="5A3E0A14"/>
    <w:rsid w:val="5A5F3A9A"/>
    <w:rsid w:val="5B0363BE"/>
    <w:rsid w:val="5BFB7CD8"/>
    <w:rsid w:val="5D406E1F"/>
    <w:rsid w:val="5DBA41AE"/>
    <w:rsid w:val="5DEB0C5D"/>
    <w:rsid w:val="5E8E49C3"/>
    <w:rsid w:val="5EA94EF8"/>
    <w:rsid w:val="5EFA531F"/>
    <w:rsid w:val="5F200655"/>
    <w:rsid w:val="608E2B49"/>
    <w:rsid w:val="613F1788"/>
    <w:rsid w:val="632B35C1"/>
    <w:rsid w:val="65097256"/>
    <w:rsid w:val="653E5FE6"/>
    <w:rsid w:val="658E5E2A"/>
    <w:rsid w:val="666C2794"/>
    <w:rsid w:val="66880441"/>
    <w:rsid w:val="66D42703"/>
    <w:rsid w:val="67BE2FEF"/>
    <w:rsid w:val="69A31AFF"/>
    <w:rsid w:val="69EF4651"/>
    <w:rsid w:val="6A3A03B0"/>
    <w:rsid w:val="6AE77371"/>
    <w:rsid w:val="6AF26BCB"/>
    <w:rsid w:val="6B5A4EEC"/>
    <w:rsid w:val="6B7D3D3B"/>
    <w:rsid w:val="6B8719AC"/>
    <w:rsid w:val="6CC04758"/>
    <w:rsid w:val="6CFC515F"/>
    <w:rsid w:val="6D2125B5"/>
    <w:rsid w:val="6F5D1E9D"/>
    <w:rsid w:val="6FB63A4A"/>
    <w:rsid w:val="6FE4525D"/>
    <w:rsid w:val="705B2E38"/>
    <w:rsid w:val="705B3275"/>
    <w:rsid w:val="70B77B1B"/>
    <w:rsid w:val="73865913"/>
    <w:rsid w:val="740255EE"/>
    <w:rsid w:val="748B19B6"/>
    <w:rsid w:val="75905C8F"/>
    <w:rsid w:val="75FA3EB8"/>
    <w:rsid w:val="761C60E4"/>
    <w:rsid w:val="76292367"/>
    <w:rsid w:val="76DE4D14"/>
    <w:rsid w:val="77311BD9"/>
    <w:rsid w:val="773705D6"/>
    <w:rsid w:val="778C73AE"/>
    <w:rsid w:val="778D552D"/>
    <w:rsid w:val="781911FC"/>
    <w:rsid w:val="78313743"/>
    <w:rsid w:val="785D0ED5"/>
    <w:rsid w:val="79440E1B"/>
    <w:rsid w:val="795265EE"/>
    <w:rsid w:val="7AFC7ED9"/>
    <w:rsid w:val="7B3F3155"/>
    <w:rsid w:val="7C224931"/>
    <w:rsid w:val="7D8F02DB"/>
    <w:rsid w:val="7DC7723E"/>
    <w:rsid w:val="7FA0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spacing w:before="240" w:after="60"/>
      <w:outlineLvl w:val="0"/>
    </w:pPr>
    <w:rPr>
      <w:rFonts w:ascii="Calibri Light" w:hAnsi="Calibri Light" w:eastAsia="等线 Light" w:cs="Times New Roman"/>
      <w:b/>
      <w:bCs/>
      <w:kern w:val="32"/>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5">
    <w:name w:val="Body Text Indent 2"/>
    <w:basedOn w:val="1"/>
    <w:link w:val="27"/>
    <w:qFormat/>
    <w:uiPriority w:val="0"/>
    <w:pPr>
      <w:ind w:firstLine="570"/>
    </w:pPr>
    <w:rPr>
      <w:rFonts w:ascii="仿宋_GB2312" w:eastAsia="仿宋_GB2312"/>
      <w:sz w:val="28"/>
      <w:szCs w:val="20"/>
    </w:rPr>
  </w:style>
  <w:style w:type="paragraph" w:styleId="6">
    <w:name w:val="Balloon Text"/>
    <w:basedOn w:val="1"/>
    <w:link w:val="28"/>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tabs>
        <w:tab w:val="right" w:leader="dot" w:pos="8296"/>
      </w:tabs>
      <w:ind w:firstLine="560" w:firstLineChars="200"/>
    </w:pPr>
    <w:rPr>
      <w:rFonts w:ascii="楷体" w:hAnsi="楷体" w:eastAsia="楷体"/>
      <w:sz w:val="28"/>
      <w:szCs w:val="2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333333"/>
      <w:u w:val="none"/>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样式3"/>
    <w:basedOn w:val="1"/>
    <w:qFormat/>
    <w:uiPriority w:val="0"/>
    <w:pPr>
      <w:jc w:val="center"/>
    </w:pPr>
    <w:rPr>
      <w:rFonts w:ascii="宋体" w:hAnsi="宋体"/>
      <w:b/>
      <w:sz w:val="28"/>
      <w:szCs w:val="28"/>
    </w:rPr>
  </w:style>
  <w:style w:type="paragraph" w:customStyle="1" w:styleId="18">
    <w:name w:val="样式4"/>
    <w:basedOn w:val="17"/>
    <w:qFormat/>
    <w:uiPriority w:val="0"/>
  </w:style>
  <w:style w:type="paragraph" w:customStyle="1" w:styleId="19">
    <w:name w:val="标题2"/>
    <w:basedOn w:val="18"/>
    <w:qFormat/>
    <w:uiPriority w:val="0"/>
  </w:style>
  <w:style w:type="paragraph" w:customStyle="1" w:styleId="20">
    <w:name w:val="List Paragraph1"/>
    <w:basedOn w:val="1"/>
    <w:qFormat/>
    <w:uiPriority w:val="0"/>
    <w:pPr>
      <w:ind w:firstLine="420" w:firstLineChars="200"/>
    </w:pPr>
    <w:rPr>
      <w:rFonts w:ascii="Calibri" w:hAnsi="Calibri" w:cs="黑体"/>
      <w:szCs w:val="22"/>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2">
    <w:name w:val="List Paragraph"/>
    <w:basedOn w:val="1"/>
    <w:qFormat/>
    <w:uiPriority w:val="34"/>
    <w:pPr>
      <w:spacing w:line="720" w:lineRule="auto"/>
      <w:ind w:firstLine="420" w:firstLineChars="200"/>
    </w:pPr>
    <w:rPr>
      <w:rFonts w:ascii="Calibri" w:hAnsi="Calibri" w:eastAsia="宋体" w:cs="Times New Roman"/>
      <w:szCs w:val="22"/>
    </w:rPr>
  </w:style>
  <w:style w:type="paragraph" w:customStyle="1" w:styleId="23">
    <w:name w:val="_Style 21"/>
    <w:basedOn w:val="2"/>
    <w:next w:val="1"/>
    <w:unhideWhenUsed/>
    <w:qFormat/>
    <w:uiPriority w:val="39"/>
    <w:pPr>
      <w:keepLines/>
      <w:widowControl/>
      <w:spacing w:after="0" w:line="259" w:lineRule="auto"/>
      <w:jc w:val="left"/>
      <w:outlineLvl w:val="9"/>
    </w:pPr>
    <w:rPr>
      <w:rFonts w:eastAsia="宋体"/>
      <w:b w:val="0"/>
      <w:bCs w:val="0"/>
      <w:color w:val="2E74B5"/>
      <w:kern w:val="0"/>
    </w:rPr>
  </w:style>
  <w:style w:type="character" w:customStyle="1" w:styleId="24">
    <w:name w:val="页眉 字符"/>
    <w:link w:val="8"/>
    <w:qFormat/>
    <w:uiPriority w:val="0"/>
    <w:rPr>
      <w:kern w:val="2"/>
      <w:sz w:val="18"/>
      <w:szCs w:val="18"/>
    </w:rPr>
  </w:style>
  <w:style w:type="character" w:customStyle="1" w:styleId="25">
    <w:name w:val="页脚 字符"/>
    <w:link w:val="7"/>
    <w:qFormat/>
    <w:uiPriority w:val="99"/>
    <w:rPr>
      <w:kern w:val="2"/>
      <w:sz w:val="18"/>
      <w:szCs w:val="18"/>
    </w:rPr>
  </w:style>
  <w:style w:type="character" w:customStyle="1" w:styleId="26">
    <w:name w:val="apple-converted-space"/>
    <w:qFormat/>
    <w:uiPriority w:val="0"/>
  </w:style>
  <w:style w:type="character" w:customStyle="1" w:styleId="27">
    <w:name w:val="正文文本缩进 2 字符"/>
    <w:link w:val="5"/>
    <w:qFormat/>
    <w:uiPriority w:val="0"/>
    <w:rPr>
      <w:rFonts w:ascii="仿宋_GB2312" w:eastAsia="仿宋_GB2312"/>
      <w:kern w:val="2"/>
      <w:sz w:val="28"/>
    </w:rPr>
  </w:style>
  <w:style w:type="character" w:customStyle="1" w:styleId="28">
    <w:name w:val="批注框文本 字符"/>
    <w:link w:val="6"/>
    <w:qFormat/>
    <w:uiPriority w:val="0"/>
    <w:rPr>
      <w:kern w:val="2"/>
      <w:sz w:val="18"/>
      <w:szCs w:val="18"/>
    </w:rPr>
  </w:style>
  <w:style w:type="character" w:customStyle="1" w:styleId="29">
    <w:name w:val="标题 1 字符"/>
    <w:link w:val="2"/>
    <w:qFormat/>
    <w:uiPriority w:val="0"/>
    <w:rPr>
      <w:rFonts w:ascii="Calibri Light" w:hAnsi="Calibri Light" w:eastAsia="等线 Light" w:cs="Times New Roman"/>
      <w:b/>
      <w:bCs/>
      <w:kern w:val="32"/>
      <w:sz w:val="32"/>
      <w:szCs w:val="32"/>
    </w:rPr>
  </w:style>
  <w:style w:type="paragraph" w:customStyle="1" w:styleId="30">
    <w:name w:val="p0"/>
    <w:basedOn w:val="1"/>
    <w:qFormat/>
    <w:uiPriority w:val="0"/>
    <w:rPr>
      <w:szCs w:val="21"/>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TOC 标题1"/>
    <w:basedOn w:val="2"/>
    <w:next w:val="1"/>
    <w:unhideWhenUsed/>
    <w:qFormat/>
    <w:uiPriority w:val="39"/>
    <w:pPr>
      <w:keepLines/>
      <w:widowControl/>
      <w:spacing w:after="0" w:line="259" w:lineRule="auto"/>
      <w:jc w:val="left"/>
      <w:outlineLvl w:val="9"/>
    </w:pPr>
    <w:rPr>
      <w:rFonts w:asciiTheme="majorHAnsi" w:hAnsiTheme="majorHAnsi" w:eastAsiaTheme="majorEastAsia" w:cstheme="majorBidi"/>
      <w:b w:val="0"/>
      <w:bCs w:val="0"/>
      <w:color w:val="376092" w:themeColor="accent1" w:themeShade="BF"/>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f49312-368e-40af-b992-bc1f3aed8029}"/>
        <w:style w:val=""/>
        <w:category>
          <w:name w:val="常规"/>
          <w:gallery w:val="placeholder"/>
        </w:category>
        <w:types>
          <w:type w:val="bbPlcHdr"/>
        </w:types>
        <w:behaviors>
          <w:behavior w:val="content"/>
        </w:behaviors>
        <w:description w:val=""/>
        <w:guid w:val="{03F49312-368E-40AF-B992-BC1F3AED8029}"/>
      </w:docPartPr>
      <w:docPartBody>
        <w:p>
          <w:r>
            <w:rPr>
              <w:color w:val="808080"/>
            </w:rPr>
            <w:t>单击此处输入文字。</w:t>
          </w:r>
        </w:p>
      </w:docPartBody>
    </w:docPart>
    <w:docPart>
      <w:docPartPr>
        <w:name w:val="{cb62f222-24c1-4981-bfc8-0eed63103853}"/>
        <w:style w:val=""/>
        <w:category>
          <w:name w:val="常规"/>
          <w:gallery w:val="placeholder"/>
        </w:category>
        <w:types>
          <w:type w:val="bbPlcHdr"/>
        </w:types>
        <w:behaviors>
          <w:behavior w:val="content"/>
        </w:behaviors>
        <w:description w:val=""/>
        <w:guid w:val="{CB62F222-24C1-4981-BFC8-0EED63103853}"/>
      </w:docPartPr>
      <w:docPartBody>
        <w:p>
          <w:r>
            <w:rPr>
              <w:color w:val="808080"/>
            </w:rPr>
            <w:t>单击此处输入文字。</w:t>
          </w:r>
        </w:p>
      </w:docPartBody>
    </w:docPart>
    <w:docPart>
      <w:docPartPr>
        <w:name w:val="{fc61e458-36d1-4ff8-b58f-6289391ee354}"/>
        <w:style w:val=""/>
        <w:category>
          <w:name w:val="常规"/>
          <w:gallery w:val="placeholder"/>
        </w:category>
        <w:types>
          <w:type w:val="bbPlcHdr"/>
        </w:types>
        <w:behaviors>
          <w:behavior w:val="content"/>
        </w:behaviors>
        <w:description w:val=""/>
        <w:guid w:val="{FC61E458-36D1-4FF8-B58F-6289391EE354}"/>
      </w:docPartPr>
      <w:docPartBody>
        <w:p>
          <w:r>
            <w:rPr>
              <w:color w:val="808080"/>
            </w:rPr>
            <w:t>单击此处输入文字。</w:t>
          </w:r>
        </w:p>
      </w:docPartBody>
    </w:docPart>
    <w:docPart>
      <w:docPartPr>
        <w:name w:val="{70dfddcf-217b-4595-be32-6c1f965c34f2}"/>
        <w:style w:val=""/>
        <w:category>
          <w:name w:val="常规"/>
          <w:gallery w:val="placeholder"/>
        </w:category>
        <w:types>
          <w:type w:val="bbPlcHdr"/>
        </w:types>
        <w:behaviors>
          <w:behavior w:val="content"/>
        </w:behaviors>
        <w:description w:val=""/>
        <w:guid w:val="{70DFDDCF-217B-4595-BE32-6C1F965C34F2}"/>
      </w:docPartPr>
      <w:docPartBody>
        <w:p>
          <w:r>
            <w:rPr>
              <w:color w:val="808080"/>
            </w:rPr>
            <w:t>单击此处输入文字。</w:t>
          </w:r>
        </w:p>
      </w:docPartBody>
    </w:docPart>
    <w:docPart>
      <w:docPartPr>
        <w:name w:val="{e9dc193f-e9f0-4afe-9a87-d5bbc0b32328}"/>
        <w:style w:val=""/>
        <w:category>
          <w:name w:val="常规"/>
          <w:gallery w:val="placeholder"/>
        </w:category>
        <w:types>
          <w:type w:val="bbPlcHdr"/>
        </w:types>
        <w:behaviors>
          <w:behavior w:val="content"/>
        </w:behaviors>
        <w:description w:val=""/>
        <w:guid w:val="{E9DC193F-E9F0-4AFE-9A87-D5BBC0B32328}"/>
      </w:docPartPr>
      <w:docPartBody>
        <w:p>
          <w:r>
            <w:rPr>
              <w:color w:val="808080"/>
            </w:rPr>
            <w:t>单击此处输入文字。</w:t>
          </w:r>
        </w:p>
      </w:docPartBody>
    </w:docPart>
    <w:docPart>
      <w:docPartPr>
        <w:name w:val="{6ce0909a-43a2-4b12-9f84-6311259f0452}"/>
        <w:style w:val=""/>
        <w:category>
          <w:name w:val="常规"/>
          <w:gallery w:val="placeholder"/>
        </w:category>
        <w:types>
          <w:type w:val="bbPlcHdr"/>
        </w:types>
        <w:behaviors>
          <w:behavior w:val="content"/>
        </w:behaviors>
        <w:description w:val=""/>
        <w:guid w:val="{6CE0909A-43A2-4B12-9F84-6311259F0452}"/>
      </w:docPartPr>
      <w:docPartBody>
        <w:p>
          <w:r>
            <w:rPr>
              <w:color w:val="808080"/>
            </w:rPr>
            <w:t>单击此处输入文字。</w:t>
          </w:r>
        </w:p>
      </w:docPartBody>
    </w:docPart>
    <w:docPart>
      <w:docPartPr>
        <w:name w:val="{cd43e697-0621-4f44-9fd0-46df358faee8}"/>
        <w:style w:val=""/>
        <w:category>
          <w:name w:val="常规"/>
          <w:gallery w:val="placeholder"/>
        </w:category>
        <w:types>
          <w:type w:val="bbPlcHdr"/>
        </w:types>
        <w:behaviors>
          <w:behavior w:val="content"/>
        </w:behaviors>
        <w:description w:val=""/>
        <w:guid w:val="{CD43E697-0621-4F44-9FD0-46DF358FAEE8}"/>
      </w:docPartPr>
      <w:docPartBody>
        <w:p>
          <w:r>
            <w:rPr>
              <w:color w:val="808080"/>
            </w:rPr>
            <w:t>单击此处输入文字。</w:t>
          </w:r>
        </w:p>
      </w:docPartBody>
    </w:docPart>
    <w:docPart>
      <w:docPartPr>
        <w:name w:val="{0cd62081-782f-4f9e-837d-9a3b4388b354}"/>
        <w:style w:val=""/>
        <w:category>
          <w:name w:val="常规"/>
          <w:gallery w:val="placeholder"/>
        </w:category>
        <w:types>
          <w:type w:val="bbPlcHdr"/>
        </w:types>
        <w:behaviors>
          <w:behavior w:val="content"/>
        </w:behaviors>
        <w:description w:val=""/>
        <w:guid w:val="{0CD62081-782F-4F9E-837D-9A3B4388B354}"/>
      </w:docPartPr>
      <w:docPartBody>
        <w:p>
          <w:r>
            <w:rPr>
              <w:color w:val="808080"/>
            </w:rPr>
            <w:t>单击此处输入文字。</w:t>
          </w:r>
        </w:p>
      </w:docPartBody>
    </w:docPart>
    <w:docPart>
      <w:docPartPr>
        <w:name w:val="{76b8885c-d6c1-4d4b-8b28-c88734948107}"/>
        <w:style w:val=""/>
        <w:category>
          <w:name w:val="常规"/>
          <w:gallery w:val="placeholder"/>
        </w:category>
        <w:types>
          <w:type w:val="bbPlcHdr"/>
        </w:types>
        <w:behaviors>
          <w:behavior w:val="content"/>
        </w:behaviors>
        <w:description w:val=""/>
        <w:guid w:val="{76B8885C-D6C1-4D4B-8B28-C88734948107}"/>
      </w:docPartPr>
      <w:docPartBody>
        <w:p>
          <w:r>
            <w:rPr>
              <w:color w:val="808080"/>
            </w:rPr>
            <w:t>单击此处输入文字。</w:t>
          </w:r>
        </w:p>
      </w:docPartBody>
    </w:docPart>
    <w:docPart>
      <w:docPartPr>
        <w:name w:val="{04076c2c-87a0-4ef9-855e-52c3047da250}"/>
        <w:style w:val=""/>
        <w:category>
          <w:name w:val="常规"/>
          <w:gallery w:val="placeholder"/>
        </w:category>
        <w:types>
          <w:type w:val="bbPlcHdr"/>
        </w:types>
        <w:behaviors>
          <w:behavior w:val="content"/>
        </w:behaviors>
        <w:description w:val=""/>
        <w:guid w:val="{04076C2C-87A0-4EF9-855E-52C3047DA250}"/>
      </w:docPartPr>
      <w:docPartBody>
        <w:p>
          <w:r>
            <w:rPr>
              <w:color w:val="808080"/>
            </w:rPr>
            <w:t>单击此处输入文字。</w:t>
          </w:r>
        </w:p>
      </w:docPartBody>
    </w:docPart>
    <w:docPart>
      <w:docPartPr>
        <w:name w:val="{a81b947c-24c9-42e5-990a-dc30f060fce9}"/>
        <w:style w:val=""/>
        <w:category>
          <w:name w:val="常规"/>
          <w:gallery w:val="placeholder"/>
        </w:category>
        <w:types>
          <w:type w:val="bbPlcHdr"/>
        </w:types>
        <w:behaviors>
          <w:behavior w:val="content"/>
        </w:behaviors>
        <w:description w:val=""/>
        <w:guid w:val="{A81B947C-24C9-42E5-990A-DC30F060FCE9}"/>
      </w:docPartPr>
      <w:docPartBody>
        <w:p>
          <w:r>
            <w:rPr>
              <w:color w:val="808080"/>
            </w:rPr>
            <w:t>单击此处输入文字。</w:t>
          </w:r>
        </w:p>
      </w:docPartBody>
    </w:docPart>
    <w:docPart>
      <w:docPartPr>
        <w:name w:val="{bcddb746-944f-457e-8093-f87c804a4f73}"/>
        <w:style w:val=""/>
        <w:category>
          <w:name w:val="常规"/>
          <w:gallery w:val="placeholder"/>
        </w:category>
        <w:types>
          <w:type w:val="bbPlcHdr"/>
        </w:types>
        <w:behaviors>
          <w:behavior w:val="content"/>
        </w:behaviors>
        <w:description w:val=""/>
        <w:guid w:val="{BCDDB746-944F-457E-8093-F87C804A4F73}"/>
      </w:docPartPr>
      <w:docPartBody>
        <w:p>
          <w:r>
            <w:rPr>
              <w:color w:val="808080"/>
            </w:rPr>
            <w:t>单击此处输入文字。</w:t>
          </w:r>
        </w:p>
      </w:docPartBody>
    </w:docPart>
    <w:docPart>
      <w:docPartPr>
        <w:name w:val="{837f92e8-66e2-4c55-a87e-e2747c86b3b4}"/>
        <w:style w:val=""/>
        <w:category>
          <w:name w:val="常规"/>
          <w:gallery w:val="placeholder"/>
        </w:category>
        <w:types>
          <w:type w:val="bbPlcHdr"/>
        </w:types>
        <w:behaviors>
          <w:behavior w:val="content"/>
        </w:behaviors>
        <w:description w:val=""/>
        <w:guid w:val="{837F92E8-66E2-4C55-A87E-E2747C86B3B4}"/>
      </w:docPartPr>
      <w:docPartBody>
        <w:p>
          <w:r>
            <w:rPr>
              <w:color w:val="808080"/>
            </w:rPr>
            <w:t>单击此处输入文字。</w:t>
          </w:r>
        </w:p>
      </w:docPartBody>
    </w:docPart>
    <w:docPart>
      <w:docPartPr>
        <w:name w:val="{94f42862-b184-42da-8ee4-b885f90c9574}"/>
        <w:style w:val=""/>
        <w:category>
          <w:name w:val="常规"/>
          <w:gallery w:val="placeholder"/>
        </w:category>
        <w:types>
          <w:type w:val="bbPlcHdr"/>
        </w:types>
        <w:behaviors>
          <w:behavior w:val="content"/>
        </w:behaviors>
        <w:description w:val=""/>
        <w:guid w:val="{94F42862-B184-42DA-8EE4-B885F90C9574}"/>
      </w:docPartPr>
      <w:docPartBody>
        <w:p>
          <w:r>
            <w:rPr>
              <w:color w:val="808080"/>
            </w:rPr>
            <w:t>单击此处输入文字。</w:t>
          </w:r>
        </w:p>
      </w:docPartBody>
    </w:docPart>
    <w:docPart>
      <w:docPartPr>
        <w:name w:val="{a683e020-c9a1-4a06-9db6-5246d5424a6a}"/>
        <w:style w:val=""/>
        <w:category>
          <w:name w:val="常规"/>
          <w:gallery w:val="placeholder"/>
        </w:category>
        <w:types>
          <w:type w:val="bbPlcHdr"/>
        </w:types>
        <w:behaviors>
          <w:behavior w:val="content"/>
        </w:behaviors>
        <w:description w:val=""/>
        <w:guid w:val="{A683E020-C9A1-4A06-9DB6-5246D5424A6A}"/>
      </w:docPartPr>
      <w:docPartBody>
        <w:p>
          <w:r>
            <w:rPr>
              <w:color w:val="808080"/>
            </w:rPr>
            <w:t>单击此处输入文字。</w:t>
          </w:r>
        </w:p>
      </w:docPartBody>
    </w:docPart>
    <w:docPart>
      <w:docPartPr>
        <w:name w:val="{c4067ea8-e128-4db5-b010-e37f2d0bba3e}"/>
        <w:style w:val=""/>
        <w:category>
          <w:name w:val="常规"/>
          <w:gallery w:val="placeholder"/>
        </w:category>
        <w:types>
          <w:type w:val="bbPlcHdr"/>
        </w:types>
        <w:behaviors>
          <w:behavior w:val="content"/>
        </w:behaviors>
        <w:description w:val=""/>
        <w:guid w:val="{C4067EA8-E128-4DB5-B010-E37F2D0BBA3E}"/>
      </w:docPartPr>
      <w:docPartBody>
        <w:p>
          <w:r>
            <w:rPr>
              <w:color w:val="808080"/>
            </w:rPr>
            <w:t>单击此处输入文字。</w:t>
          </w:r>
        </w:p>
      </w:docPartBody>
    </w:docPart>
    <w:docPart>
      <w:docPartPr>
        <w:name w:val="{4212991e-b2e9-4aca-add5-b8d219bfff44}"/>
        <w:style w:val=""/>
        <w:category>
          <w:name w:val="常规"/>
          <w:gallery w:val="placeholder"/>
        </w:category>
        <w:types>
          <w:type w:val="bbPlcHdr"/>
        </w:types>
        <w:behaviors>
          <w:behavior w:val="content"/>
        </w:behaviors>
        <w:description w:val=""/>
        <w:guid w:val="{4212991E-B2E9-4ACA-ADD5-B8D219BFFF44}"/>
      </w:docPartPr>
      <w:docPartBody>
        <w:p>
          <w:r>
            <w:rPr>
              <w:color w:val="808080"/>
            </w:rPr>
            <w:t>单击此处输入文字。</w:t>
          </w:r>
        </w:p>
      </w:docPartBody>
    </w:docPart>
    <w:docPart>
      <w:docPartPr>
        <w:name w:val="{37a8aa62-2fc0-4e2f-b674-5f3f19fbee89}"/>
        <w:style w:val=""/>
        <w:category>
          <w:name w:val="常规"/>
          <w:gallery w:val="placeholder"/>
        </w:category>
        <w:types>
          <w:type w:val="bbPlcHdr"/>
        </w:types>
        <w:behaviors>
          <w:behavior w:val="content"/>
        </w:behaviors>
        <w:description w:val=""/>
        <w:guid w:val="{37A8AA62-2FC0-4E2F-B674-5F3F19FBEE89}"/>
      </w:docPartPr>
      <w:docPartBody>
        <w:p>
          <w:r>
            <w:rPr>
              <w:color w:val="808080"/>
            </w:rPr>
            <w:t>单击此处输入文字。</w:t>
          </w:r>
        </w:p>
      </w:docPartBody>
    </w:docPart>
    <w:docPart>
      <w:docPartPr>
        <w:name w:val="{be98f253-1cbf-4cb8-8dd4-127de01ca32e}"/>
        <w:style w:val=""/>
        <w:category>
          <w:name w:val="常规"/>
          <w:gallery w:val="placeholder"/>
        </w:category>
        <w:types>
          <w:type w:val="bbPlcHdr"/>
        </w:types>
        <w:behaviors>
          <w:behavior w:val="content"/>
        </w:behaviors>
        <w:description w:val=""/>
        <w:guid w:val="{BE98F253-1CBF-4CB8-8DD4-127DE01CA32E}"/>
      </w:docPartPr>
      <w:docPartBody>
        <w:p>
          <w:r>
            <w:rPr>
              <w:color w:val="808080"/>
            </w:rPr>
            <w:t>单击此处输入文字。</w:t>
          </w:r>
        </w:p>
      </w:docPartBody>
    </w:docPart>
    <w:docPart>
      <w:docPartPr>
        <w:name w:val="{b37041e4-0898-4504-acfc-ffe9a8527da2}"/>
        <w:style w:val=""/>
        <w:category>
          <w:name w:val="常规"/>
          <w:gallery w:val="placeholder"/>
        </w:category>
        <w:types>
          <w:type w:val="bbPlcHdr"/>
        </w:types>
        <w:behaviors>
          <w:behavior w:val="content"/>
        </w:behaviors>
        <w:description w:val=""/>
        <w:guid w:val="{B37041E4-0898-4504-ACFC-FFE9A8527DA2}"/>
      </w:docPartPr>
      <w:docPartBody>
        <w:p>
          <w:r>
            <w:rPr>
              <w:color w:val="808080"/>
            </w:rPr>
            <w:t>单击此处输入文字。</w:t>
          </w:r>
        </w:p>
      </w:docPartBody>
    </w:docPart>
    <w:docPart>
      <w:docPartPr>
        <w:name w:val="{75a9af0e-4893-406c-932c-f3c38b0fc661}"/>
        <w:style w:val=""/>
        <w:category>
          <w:name w:val="常规"/>
          <w:gallery w:val="placeholder"/>
        </w:category>
        <w:types>
          <w:type w:val="bbPlcHdr"/>
        </w:types>
        <w:behaviors>
          <w:behavior w:val="content"/>
        </w:behaviors>
        <w:description w:val=""/>
        <w:guid w:val="{75A9AF0E-4893-406C-932C-F3C38B0FC661}"/>
      </w:docPartPr>
      <w:docPartBody>
        <w:p>
          <w:r>
            <w:rPr>
              <w:color w:val="808080"/>
            </w:rPr>
            <w:t>单击此处输入文字。</w:t>
          </w:r>
        </w:p>
      </w:docPartBody>
    </w:docPart>
    <w:docPart>
      <w:docPartPr>
        <w:name w:val="{b987acf8-3b15-4ab5-bf1b-7dd9778db0b6}"/>
        <w:style w:val=""/>
        <w:category>
          <w:name w:val="常规"/>
          <w:gallery w:val="placeholder"/>
        </w:category>
        <w:types>
          <w:type w:val="bbPlcHdr"/>
        </w:types>
        <w:behaviors>
          <w:behavior w:val="content"/>
        </w:behaviors>
        <w:description w:val=""/>
        <w:guid w:val="{B987ACF8-3B15-4AB5-BF1B-7DD9778DB0B6}"/>
      </w:docPartPr>
      <w:docPartBody>
        <w:p>
          <w:r>
            <w:rPr>
              <w:color w:val="808080"/>
            </w:rPr>
            <w:t>单击此处输入文字。</w:t>
          </w:r>
        </w:p>
      </w:docPartBody>
    </w:docPart>
    <w:docPart>
      <w:docPartPr>
        <w:name w:val="{2e280923-d1c7-47d8-9792-cf7ad2527151}"/>
        <w:style w:val=""/>
        <w:category>
          <w:name w:val="常规"/>
          <w:gallery w:val="placeholder"/>
        </w:category>
        <w:types>
          <w:type w:val="bbPlcHdr"/>
        </w:types>
        <w:behaviors>
          <w:behavior w:val="content"/>
        </w:behaviors>
        <w:description w:val=""/>
        <w:guid w:val="{2E280923-D1C7-47D8-9792-CF7AD2527151}"/>
      </w:docPartPr>
      <w:docPartBody>
        <w:p>
          <w:r>
            <w:rPr>
              <w:color w:val="808080"/>
            </w:rPr>
            <w:t>单击此处输入文字。</w:t>
          </w:r>
        </w:p>
      </w:docPartBody>
    </w:docPart>
    <w:docPart>
      <w:docPartPr>
        <w:name w:val="{563167c5-1509-4fdb-8cb1-4e194d635337}"/>
        <w:style w:val=""/>
        <w:category>
          <w:name w:val="常规"/>
          <w:gallery w:val="placeholder"/>
        </w:category>
        <w:types>
          <w:type w:val="bbPlcHdr"/>
        </w:types>
        <w:behaviors>
          <w:behavior w:val="content"/>
        </w:behaviors>
        <w:description w:val=""/>
        <w:guid w:val="{563167C5-1509-4FDB-8CB1-4E194D635337}"/>
      </w:docPartPr>
      <w:docPartBody>
        <w:p>
          <w:r>
            <w:rPr>
              <w:color w:val="808080"/>
            </w:rPr>
            <w:t>单击此处输入文字。</w:t>
          </w:r>
        </w:p>
      </w:docPartBody>
    </w:docPart>
    <w:docPart>
      <w:docPartPr>
        <w:name w:val="{ea9a38e8-3bd9-47e8-b679-36194341ee47}"/>
        <w:style w:val=""/>
        <w:category>
          <w:name w:val="常规"/>
          <w:gallery w:val="placeholder"/>
        </w:category>
        <w:types>
          <w:type w:val="bbPlcHdr"/>
        </w:types>
        <w:behaviors>
          <w:behavior w:val="content"/>
        </w:behaviors>
        <w:description w:val=""/>
        <w:guid w:val="{EA9A38E8-3BD9-47E8-B679-36194341EE47}"/>
      </w:docPartPr>
      <w:docPartBody>
        <w:p>
          <w:r>
            <w:rPr>
              <w:color w:val="808080"/>
            </w:rPr>
            <w:t>单击此处输入文字。</w:t>
          </w:r>
        </w:p>
      </w:docPartBody>
    </w:docPart>
    <w:docPart>
      <w:docPartPr>
        <w:name w:val="{426b730d-13cb-477c-99c9-c7ec750484fa}"/>
        <w:style w:val=""/>
        <w:category>
          <w:name w:val="常规"/>
          <w:gallery w:val="placeholder"/>
        </w:category>
        <w:types>
          <w:type w:val="bbPlcHdr"/>
        </w:types>
        <w:behaviors>
          <w:behavior w:val="content"/>
        </w:behaviors>
        <w:description w:val=""/>
        <w:guid w:val="{426B730D-13CB-477C-99C9-C7EC750484FA}"/>
      </w:docPartPr>
      <w:docPartBody>
        <w:p>
          <w:r>
            <w:rPr>
              <w:color w:val="808080"/>
            </w:rPr>
            <w:t>单击此处输入文字。</w:t>
          </w:r>
        </w:p>
      </w:docPartBody>
    </w:docPart>
    <w:docPart>
      <w:docPartPr>
        <w:name w:val="{7ecd536c-e0c8-4ebb-b32a-221e9cdef038}"/>
        <w:style w:val=""/>
        <w:category>
          <w:name w:val="常规"/>
          <w:gallery w:val="placeholder"/>
        </w:category>
        <w:types>
          <w:type w:val="bbPlcHdr"/>
        </w:types>
        <w:behaviors>
          <w:behavior w:val="content"/>
        </w:behaviors>
        <w:description w:val=""/>
        <w:guid w:val="{7ECD536C-E0C8-4EBB-B32A-221E9CDEF038}"/>
      </w:docPartPr>
      <w:docPartBody>
        <w:p>
          <w:r>
            <w:rPr>
              <w:color w:val="808080"/>
            </w:rPr>
            <w:t>单击此处输入文字。</w:t>
          </w:r>
        </w:p>
      </w:docPartBody>
    </w:docPart>
    <w:docPart>
      <w:docPartPr>
        <w:name w:val="{ee55d1ef-1a21-4a23-86d6-d8d1f02e4c5d}"/>
        <w:style w:val=""/>
        <w:category>
          <w:name w:val="常规"/>
          <w:gallery w:val="placeholder"/>
        </w:category>
        <w:types>
          <w:type w:val="bbPlcHdr"/>
        </w:types>
        <w:behaviors>
          <w:behavior w:val="content"/>
        </w:behaviors>
        <w:description w:val=""/>
        <w:guid w:val="{EE55D1EF-1A21-4A23-86D6-D8D1F02E4C5D}"/>
      </w:docPartPr>
      <w:docPartBody>
        <w:p>
          <w:r>
            <w:rPr>
              <w:color w:val="808080"/>
            </w:rPr>
            <w:t>单击此处输入文字。</w:t>
          </w:r>
        </w:p>
      </w:docPartBody>
    </w:docPart>
    <w:docPart>
      <w:docPartPr>
        <w:name w:val="{b605703f-4b0c-4b92-8ef7-05f9bd3514f4}"/>
        <w:style w:val=""/>
        <w:category>
          <w:name w:val="常规"/>
          <w:gallery w:val="placeholder"/>
        </w:category>
        <w:types>
          <w:type w:val="bbPlcHdr"/>
        </w:types>
        <w:behaviors>
          <w:behavior w:val="content"/>
        </w:behaviors>
        <w:description w:val=""/>
        <w:guid w:val="{B605703F-4B0C-4B92-8EF7-05F9BD3514F4}"/>
      </w:docPartPr>
      <w:docPartBody>
        <w:p>
          <w:r>
            <w:rPr>
              <w:color w:val="808080"/>
            </w:rPr>
            <w:t>单击此处输入文字。</w:t>
          </w:r>
        </w:p>
      </w:docPartBody>
    </w:docPart>
    <w:docPart>
      <w:docPartPr>
        <w:name w:val="{949305dd-5b2b-42b7-949a-c70f05395c8a}"/>
        <w:style w:val=""/>
        <w:category>
          <w:name w:val="常规"/>
          <w:gallery w:val="placeholder"/>
        </w:category>
        <w:types>
          <w:type w:val="bbPlcHdr"/>
        </w:types>
        <w:behaviors>
          <w:behavior w:val="content"/>
        </w:behaviors>
        <w:description w:val=""/>
        <w:guid w:val="{949305DD-5B2B-42B7-949A-C70F05395C8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E5"/>
    <w:rsid w:val="00187D12"/>
    <w:rsid w:val="005B2374"/>
    <w:rsid w:val="00EE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52FB1-9557-420E-9F27-B00D224A7ED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1963</Words>
  <Characters>11192</Characters>
  <Lines>93</Lines>
  <Paragraphs>26</Paragraphs>
  <TotalTime>0</TotalTime>
  <ScaleCrop>false</ScaleCrop>
  <LinksUpToDate>false</LinksUpToDate>
  <CharactersWithSpaces>13129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2020-04-29T12:16:00Z</dcterms:created>
  <dc:creator>ruiyue</dc:creator>
  <cp:lastModifiedBy>国富期货_legal</cp:lastModifiedBy>
  <cp:lastPrinted>2019-04-30T08:14:00Z</cp:lastPrinted>
  <dcterms:modified xsi:type="dcterms:W3CDTF">2021-04-29T09:43:34Z</dcterms:modified>
  <dc:title>社会责任报告框架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