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firstLineChars="0"/>
        <w:jc w:val="center"/>
        <w:rPr>
          <w:rFonts w:ascii="宋体" w:hAnsi="宋体" w:cs="宋体"/>
          <w:sz w:val="44"/>
          <w:szCs w:val="44"/>
        </w:rPr>
      </w:pPr>
    </w:p>
    <w:p>
      <w:pPr>
        <w:spacing w:line="580" w:lineRule="exact"/>
        <w:ind w:firstLine="0" w:firstLineChars="0"/>
        <w:jc w:val="center"/>
        <w:rPr>
          <w:rFonts w:ascii="宋体" w:hAnsi="宋体" w:cs="宋体"/>
          <w:sz w:val="44"/>
          <w:szCs w:val="44"/>
        </w:rPr>
      </w:pPr>
    </w:p>
    <w:p>
      <w:pPr>
        <w:spacing w:line="580" w:lineRule="exact"/>
        <w:ind w:firstLine="0" w:firstLineChars="0"/>
        <w:jc w:val="center"/>
        <w:rPr>
          <w:rFonts w:ascii="宋体" w:hAnsi="宋体" w:cs="宋体"/>
          <w:sz w:val="44"/>
          <w:szCs w:val="44"/>
        </w:rPr>
      </w:pPr>
      <w:bookmarkStart w:id="0" w:name="OLE_LINK4"/>
      <w:r>
        <w:rPr>
          <w:rFonts w:hint="eastAsia" w:ascii="宋体" w:hAnsi="宋体" w:cs="宋体"/>
          <w:sz w:val="44"/>
          <w:szCs w:val="44"/>
        </w:rPr>
        <w:t>天风期货股份有限公司</w:t>
      </w:r>
    </w:p>
    <w:p>
      <w:pPr>
        <w:spacing w:after="312" w:afterLines="100" w:line="580" w:lineRule="exact"/>
        <w:ind w:firstLine="0" w:firstLineChars="0"/>
        <w:jc w:val="center"/>
        <w:rPr>
          <w:rFonts w:ascii="宋体" w:hAnsi="宋体" w:cs="宋体"/>
          <w:sz w:val="44"/>
          <w:szCs w:val="44"/>
        </w:rPr>
      </w:pPr>
      <w:r>
        <w:rPr>
          <w:rFonts w:hint="eastAsia" w:ascii="宋体" w:hAnsi="宋体" w:cs="宋体"/>
          <w:sz w:val="44"/>
          <w:szCs w:val="44"/>
        </w:rPr>
        <w:t>2020年度社会责任报告</w:t>
      </w:r>
    </w:p>
    <w:bookmarkEnd w:id="0"/>
    <w:p>
      <w:pPr>
        <w:spacing w:after="312" w:afterLines="100" w:line="580" w:lineRule="exact"/>
        <w:ind w:firstLine="0" w:firstLineChars="0"/>
        <w:jc w:val="center"/>
        <w:rPr>
          <w:rFonts w:ascii="Times New Roman" w:hAnsi="Times New Roman" w:cs="Times New Roman"/>
          <w:sz w:val="36"/>
          <w:szCs w:val="36"/>
        </w:rPr>
      </w:pPr>
      <w:r>
        <w:rPr>
          <w:rFonts w:hint="default" w:ascii="Times New Roman" w:hAnsi="Times New Roman" w:cs="Times New Roman"/>
          <w:sz w:val="36"/>
          <w:szCs w:val="36"/>
        </w:rPr>
        <w:t>Social Responsibility Report</w:t>
      </w:r>
    </w:p>
    <w:p>
      <w:pPr>
        <w:spacing w:line="580" w:lineRule="exact"/>
        <w:ind w:firstLine="0" w:firstLineChars="0"/>
        <w:jc w:val="center"/>
        <w:rPr>
          <w:rFonts w:ascii="宋体" w:hAnsi="宋体" w:cs="宋体"/>
          <w:sz w:val="44"/>
          <w:szCs w:val="44"/>
        </w:rPr>
      </w:pPr>
    </w:p>
    <w:p>
      <w:pPr>
        <w:spacing w:line="580" w:lineRule="exact"/>
        <w:ind w:firstLine="0" w:firstLineChars="0"/>
        <w:jc w:val="center"/>
        <w:rPr>
          <w:rFonts w:ascii="宋体" w:hAnsi="宋体" w:cs="宋体"/>
          <w:sz w:val="44"/>
          <w:szCs w:val="44"/>
        </w:rPr>
      </w:pPr>
      <w:r>
        <w:drawing>
          <wp:anchor distT="0" distB="0" distL="114300" distR="114300" simplePos="0" relativeHeight="251661312" behindDoc="0" locked="0" layoutInCell="1" allowOverlap="1">
            <wp:simplePos x="0" y="0"/>
            <wp:positionH relativeFrom="column">
              <wp:align>center</wp:align>
            </wp:positionH>
            <wp:positionV relativeFrom="paragraph">
              <wp:posOffset>165735</wp:posOffset>
            </wp:positionV>
            <wp:extent cx="2002155" cy="784225"/>
            <wp:effectExtent l="0" t="0" r="17145" b="1587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2002155" cy="784225"/>
                    </a:xfrm>
                    <a:prstGeom prst="rect">
                      <a:avLst/>
                    </a:prstGeom>
                    <a:noFill/>
                    <a:ln>
                      <a:noFill/>
                    </a:ln>
                  </pic:spPr>
                </pic:pic>
              </a:graphicData>
            </a:graphic>
          </wp:anchor>
        </w:drawing>
      </w:r>
    </w:p>
    <w:p>
      <w:pPr>
        <w:spacing w:line="580" w:lineRule="exact"/>
        <w:ind w:firstLine="0" w:firstLineChars="0"/>
        <w:jc w:val="center"/>
        <w:rPr>
          <w:rFonts w:ascii="宋体" w:hAnsi="宋体" w:cs="宋体"/>
          <w:sz w:val="44"/>
          <w:szCs w:val="44"/>
        </w:rPr>
      </w:pPr>
    </w:p>
    <w:p>
      <w:pPr>
        <w:spacing w:line="580" w:lineRule="exact"/>
        <w:ind w:firstLine="0" w:firstLineChars="0"/>
        <w:jc w:val="center"/>
        <w:rPr>
          <w:rFonts w:ascii="宋体" w:hAnsi="宋体" w:cs="宋体"/>
          <w:sz w:val="44"/>
          <w:szCs w:val="44"/>
        </w:rPr>
      </w:pPr>
    </w:p>
    <w:p>
      <w:pPr>
        <w:spacing w:line="580" w:lineRule="exact"/>
        <w:ind w:firstLine="0" w:firstLineChars="0"/>
        <w:jc w:val="center"/>
        <w:rPr>
          <w:rFonts w:ascii="宋体" w:hAnsi="宋体" w:cs="宋体"/>
          <w:sz w:val="44"/>
          <w:szCs w:val="44"/>
        </w:rPr>
      </w:pPr>
    </w:p>
    <w:p>
      <w:pPr>
        <w:spacing w:line="580" w:lineRule="exact"/>
        <w:ind w:firstLine="0" w:firstLineChars="0"/>
        <w:jc w:val="center"/>
        <w:rPr>
          <w:rFonts w:hint="default" w:ascii="宋体" w:hAnsi="宋体" w:cs="宋体"/>
          <w:sz w:val="44"/>
          <w:szCs w:val="44"/>
          <w:lang w:val="en-US"/>
        </w:rPr>
      </w:pPr>
    </w:p>
    <w:p>
      <w:pPr>
        <w:spacing w:after="312" w:afterLines="100" w:line="580" w:lineRule="exact"/>
        <w:ind w:firstLine="0" w:firstLineChars="0"/>
        <w:jc w:val="center"/>
        <w:rPr>
          <w:rFonts w:ascii="宋体" w:hAnsi="宋体" w:cs="宋体"/>
          <w:sz w:val="44"/>
          <w:szCs w:val="44"/>
        </w:rPr>
      </w:pPr>
    </w:p>
    <w:p>
      <w:pPr>
        <w:spacing w:after="312" w:afterLines="100" w:line="580" w:lineRule="exact"/>
        <w:ind w:firstLine="0" w:firstLineChars="0"/>
        <w:jc w:val="center"/>
        <w:rPr>
          <w:rFonts w:ascii="宋体" w:hAnsi="宋体" w:cs="宋体"/>
          <w:sz w:val="44"/>
          <w:szCs w:val="44"/>
        </w:rPr>
      </w:pPr>
    </w:p>
    <w:p/>
    <w:p>
      <w:pPr>
        <w:spacing w:after="312" w:afterLines="100" w:line="580" w:lineRule="exact"/>
        <w:ind w:firstLine="0" w:firstLineChars="0"/>
        <w:jc w:val="center"/>
        <w:rPr>
          <w:rFonts w:ascii="宋体" w:hAnsi="宋体" w:cs="宋体"/>
          <w:sz w:val="36"/>
          <w:szCs w:val="36"/>
        </w:rPr>
      </w:pPr>
      <w:r>
        <w:rPr>
          <w:rFonts w:ascii="宋体" w:hAnsi="宋体" w:cs="宋体"/>
          <w:sz w:val="36"/>
          <w:szCs w:val="36"/>
        </w:rPr>
        <w:t>2021</w:t>
      </w:r>
      <w:r>
        <w:rPr>
          <w:rFonts w:hint="eastAsia" w:ascii="宋体" w:hAnsi="宋体" w:cs="宋体"/>
          <w:sz w:val="36"/>
          <w:szCs w:val="36"/>
        </w:rPr>
        <w:t>年</w:t>
      </w:r>
      <w:r>
        <w:rPr>
          <w:rFonts w:ascii="宋体" w:hAnsi="宋体" w:cs="宋体"/>
          <w:sz w:val="36"/>
          <w:szCs w:val="36"/>
        </w:rPr>
        <w:t>4</w:t>
      </w:r>
      <w:r>
        <w:rPr>
          <w:rFonts w:hint="eastAsia" w:ascii="宋体" w:hAnsi="宋体" w:cs="宋体"/>
          <w:sz w:val="36"/>
          <w:szCs w:val="36"/>
        </w:rPr>
        <w:t>月</w:t>
      </w:r>
    </w:p>
    <w:p>
      <w:pPr>
        <w:spacing w:line="600" w:lineRule="exact"/>
        <w:ind w:firstLine="720" w:firstLineChars="200"/>
        <w:rPr>
          <w:rFonts w:ascii="宋体" w:hAnsi="宋体" w:cs="宋体"/>
          <w:sz w:val="36"/>
          <w:szCs w:val="36"/>
        </w:rPr>
      </w:pPr>
      <w:r>
        <w:rPr>
          <w:rFonts w:hint="eastAsia" w:ascii="宋体" w:hAnsi="宋体" w:cs="宋体"/>
          <w:sz w:val="36"/>
          <w:szCs w:val="36"/>
        </w:rPr>
        <w:br w:type="page"/>
      </w:r>
    </w:p>
    <w:p>
      <w:pPr>
        <w:spacing w:line="580" w:lineRule="exact"/>
        <w:ind w:firstLine="0" w:firstLineChars="0"/>
        <w:jc w:val="center"/>
        <w:rPr>
          <w:rFonts w:ascii="宋体" w:hAnsi="宋体" w:cs="宋体"/>
          <w:sz w:val="44"/>
          <w:szCs w:val="44"/>
        </w:rPr>
      </w:pPr>
      <w:r>
        <w:rPr>
          <w:rFonts w:hint="eastAsia" w:ascii="宋体" w:hAnsi="宋体" w:cs="宋体"/>
          <w:sz w:val="44"/>
          <w:szCs w:val="44"/>
        </w:rPr>
        <w:t>天风期货股份有限公司</w:t>
      </w:r>
    </w:p>
    <w:p>
      <w:pPr>
        <w:spacing w:after="312" w:afterLines="100" w:line="580" w:lineRule="exact"/>
        <w:ind w:firstLine="0" w:firstLineChars="0"/>
        <w:jc w:val="center"/>
        <w:rPr>
          <w:rFonts w:hint="eastAsia" w:ascii="宋体" w:hAnsi="宋体" w:cs="宋体"/>
          <w:sz w:val="24"/>
          <w:szCs w:val="24"/>
          <w:lang w:val="en-US" w:eastAsia="zh-CN"/>
        </w:rPr>
      </w:pPr>
      <w:r>
        <w:rPr>
          <w:rFonts w:hint="eastAsia" w:ascii="宋体" w:hAnsi="宋体" w:cs="宋体"/>
          <w:sz w:val="44"/>
          <w:szCs w:val="44"/>
        </w:rPr>
        <w:t>2020年度社会责任报告</w:t>
      </w:r>
      <w:r>
        <w:rPr>
          <w:rFonts w:hint="eastAsia" w:ascii="宋体" w:hAnsi="宋体" w:cs="宋体"/>
          <w:sz w:val="44"/>
          <w:szCs w:val="44"/>
          <w:lang w:val="en-US" w:eastAsia="zh-CN"/>
        </w:rPr>
        <w:t>摘要</w:t>
      </w:r>
    </w:p>
    <w:p>
      <w:pPr>
        <w:spacing w:line="580" w:lineRule="exact"/>
        <w:ind w:firstLine="640" w:firstLineChars="200"/>
        <w:jc w:val="left"/>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2020年，天风期货以围绕服务实体经济为根本宗旨，不断加强公司内部治理，提升经纪业务服务内容与服务品质，切实履行社会责任。</w:t>
      </w:r>
    </w:p>
    <w:p>
      <w:pPr>
        <w:spacing w:line="580" w:lineRule="exact"/>
        <w:ind w:firstLine="640" w:firstLineChars="200"/>
        <w:jc w:val="left"/>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公司各项业务保持稳健发展态势，2020年实现营业收入30,759万元，其中期货经纪业务实现营业收入11,686万元，同比增长51%，实现成交量5,216万手，与上年同比上涨91%，期货市场同比增长55.29%，实现成交额40,257亿元，与上年同比上涨21%，期货市场同比上涨50.56%，公司经纪业务持续保持稳健增长。</w:t>
      </w:r>
    </w:p>
    <w:p>
      <w:pPr>
        <w:spacing w:line="580" w:lineRule="exact"/>
        <w:ind w:firstLine="640" w:firstLineChars="200"/>
        <w:jc w:val="left"/>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公司从消费扶贫、捐赠扶贫、教育扶贫、保险加期货等方面持续开展“一对多”结对帮扶，助力脱贫事业。通过采购9个国家级贫困县的扶贫产品，推动消费扶贫；直接向贫困县捐赠总价值达314万元的药品，帮助解决贫困地区因病致贫的问题；利用期货市场为太湖县的企业景湖农业进行了三次鸡蛋保价业务，不仅保障了企业的收益，同时还宣讲了使用期货市场工具管理企业风险的知识；响应国家号召在多个贫困县开展共计4次保险加期货业务，发挥期货公司专长实现造血式扶贫，保护贫困农户的收益。</w:t>
      </w:r>
    </w:p>
    <w:p>
      <w:pPr>
        <w:spacing w:line="580" w:lineRule="exact"/>
        <w:ind w:firstLine="640" w:firstLineChars="200"/>
        <w:jc w:val="left"/>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公司积极履行节能环保责任，热心参与社会公益事业，大力开展投资者教育活动，为行业发展贡献力量。</w:t>
      </w:r>
    </w:p>
    <w:p>
      <w:pPr>
        <w:spacing w:line="580" w:lineRule="exact"/>
        <w:ind w:firstLine="640" w:firstLineChars="200"/>
        <w:jc w:val="left"/>
        <w:outlineLvl w:val="9"/>
        <w:rPr>
          <w:rFonts w:hint="eastAsia" w:ascii="仿宋" w:hAnsi="仿宋" w:eastAsia="仿宋" w:cs="仿宋"/>
          <w:bCs/>
          <w:sz w:val="32"/>
          <w:szCs w:val="32"/>
          <w:lang w:val="en-US" w:eastAsia="zh-CN"/>
        </w:rPr>
        <w:sectPr>
          <w:headerReference r:id="rId3" w:type="default"/>
          <w:footerReference r:id="rId4" w:type="default"/>
          <w:pgSz w:w="11906" w:h="16838"/>
          <w:pgMar w:top="1440" w:right="1800" w:bottom="1440" w:left="1800" w:header="851" w:footer="992" w:gutter="0"/>
          <w:pgNumType w:fmt="upperRoman" w:start="1"/>
          <w:cols w:space="720" w:num="1"/>
          <w:docGrid w:type="lines" w:linePitch="312" w:charSpace="0"/>
        </w:sectPr>
      </w:pPr>
      <w:r>
        <w:rPr>
          <w:rFonts w:hint="eastAsia" w:ascii="仿宋" w:hAnsi="仿宋" w:eastAsia="仿宋" w:cs="仿宋"/>
          <w:bCs/>
          <w:sz w:val="32"/>
          <w:szCs w:val="32"/>
          <w:lang w:val="en-US" w:eastAsia="zh-CN"/>
        </w:rPr>
        <w:t>2020年，公司还获得中国金融期货交易所优秀会员金奖、大连商品交易所年度优秀会员、郑州商品交易所年度市场成长优秀会员等交易所奖项，以及协会、媒体等机构颁发的多项奖项，品牌形象和市场影响力持续提升。</w:t>
      </w:r>
    </w:p>
    <w:sdt>
      <w:sdtPr>
        <w:rPr>
          <w:rFonts w:hint="eastAsia" w:ascii="仿宋" w:hAnsi="仿宋" w:eastAsia="仿宋" w:cs="仿宋"/>
          <w:kern w:val="2"/>
          <w:sz w:val="32"/>
          <w:szCs w:val="32"/>
          <w:lang w:val="en-US" w:eastAsia="zh-CN" w:bidi="ar-SA"/>
        </w:rPr>
        <w:id w:val="147480402"/>
        <w15:color w:val="DBDBDB"/>
        <w:docPartObj>
          <w:docPartGallery w:val="Table of Contents"/>
          <w:docPartUnique/>
        </w:docPartObj>
      </w:sdtPr>
      <w:sdtEndPr>
        <w:rPr>
          <w:rFonts w:hint="eastAsia" w:ascii="宋体" w:hAnsi="宋体" w:eastAsia="仿宋" w:cs="仿宋"/>
          <w:b/>
          <w:kern w:val="2"/>
          <w:sz w:val="24"/>
          <w:szCs w:val="32"/>
          <w:lang w:val="en-US" w:eastAsia="zh-CN" w:bidi="ar-SA"/>
        </w:rPr>
      </w:sdtEndPr>
      <w:sdtContent>
        <w:p>
          <w:pPr>
            <w:spacing w:after="313" w:afterLines="100"/>
            <w:jc w:val="center"/>
            <w:rPr>
              <w:rFonts w:hint="eastAsia" w:ascii="仿宋" w:hAnsi="仿宋" w:eastAsia="仿宋" w:cs="仿宋"/>
              <w:sz w:val="32"/>
              <w:szCs w:val="32"/>
            </w:rPr>
          </w:pPr>
          <w:r>
            <w:rPr>
              <w:rFonts w:hint="eastAsia" w:ascii="仿宋" w:hAnsi="仿宋" w:eastAsia="仿宋" w:cs="仿宋"/>
              <w:sz w:val="32"/>
              <w:szCs w:val="32"/>
            </w:rPr>
            <w:t>目录</w:t>
          </w:r>
        </w:p>
        <w:p>
          <w:pPr>
            <w:pStyle w:val="6"/>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TOC \o "1-2" \h \u </w:instrText>
          </w:r>
          <w:r>
            <w:rPr>
              <w:rFonts w:hint="eastAsia" w:ascii="仿宋" w:hAnsi="仿宋" w:eastAsia="仿宋" w:cs="仿宋"/>
              <w:sz w:val="24"/>
            </w:rPr>
            <w:fldChar w:fldCharType="separate"/>
          </w:r>
          <w:r>
            <w:rPr>
              <w:rFonts w:hint="eastAsia" w:ascii="仿宋" w:hAnsi="仿宋" w:eastAsia="仿宋" w:cs="仿宋"/>
              <w:sz w:val="24"/>
            </w:rPr>
            <w:fldChar w:fldCharType="begin"/>
          </w:r>
          <w:r>
            <w:rPr>
              <w:rFonts w:hint="eastAsia" w:ascii="仿宋" w:hAnsi="仿宋" w:eastAsia="仿宋" w:cs="仿宋"/>
              <w:sz w:val="24"/>
            </w:rPr>
            <w:instrText xml:space="preserve"> HYPERLINK \l _Toc159 </w:instrText>
          </w:r>
          <w:r>
            <w:rPr>
              <w:rFonts w:hint="eastAsia" w:ascii="仿宋" w:hAnsi="仿宋" w:eastAsia="仿宋" w:cs="仿宋"/>
              <w:sz w:val="24"/>
            </w:rPr>
            <w:fldChar w:fldCharType="separate"/>
          </w:r>
          <w:r>
            <w:rPr>
              <w:rFonts w:hint="eastAsia" w:ascii="仿宋" w:hAnsi="仿宋" w:eastAsia="仿宋" w:cs="仿宋"/>
              <w:bCs/>
              <w:sz w:val="24"/>
              <w:szCs w:val="24"/>
            </w:rPr>
            <w:t>一、公司愿景与社会责任定位</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_Toc159 \h </w:instrText>
          </w:r>
          <w:r>
            <w:rPr>
              <w:rFonts w:hint="eastAsia" w:ascii="仿宋" w:hAnsi="仿宋" w:eastAsia="仿宋" w:cs="仿宋"/>
              <w:sz w:val="24"/>
            </w:rPr>
            <w:fldChar w:fldCharType="separate"/>
          </w:r>
          <w:r>
            <w:rPr>
              <w:rFonts w:hint="eastAsia" w:ascii="仿宋" w:hAnsi="仿宋" w:eastAsia="仿宋" w:cs="仿宋"/>
              <w:sz w:val="24"/>
            </w:rPr>
            <w:t>2</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_Toc10263 </w:instrText>
          </w:r>
          <w:r>
            <w:rPr>
              <w:rFonts w:hint="eastAsia" w:ascii="仿宋" w:hAnsi="仿宋" w:eastAsia="仿宋" w:cs="仿宋"/>
              <w:sz w:val="24"/>
            </w:rPr>
            <w:fldChar w:fldCharType="separate"/>
          </w:r>
          <w:r>
            <w:rPr>
              <w:rFonts w:hint="eastAsia" w:ascii="仿宋" w:hAnsi="仿宋" w:eastAsia="仿宋" w:cs="仿宋"/>
              <w:sz w:val="24"/>
              <w:szCs w:val="24"/>
            </w:rPr>
            <w:t>（一）公司愿景和发展战略</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_Toc10263 \h </w:instrText>
          </w:r>
          <w:r>
            <w:rPr>
              <w:rFonts w:hint="eastAsia" w:ascii="仿宋" w:hAnsi="仿宋" w:eastAsia="仿宋" w:cs="仿宋"/>
              <w:sz w:val="24"/>
            </w:rPr>
            <w:fldChar w:fldCharType="separate"/>
          </w:r>
          <w:r>
            <w:rPr>
              <w:rFonts w:hint="eastAsia" w:ascii="仿宋" w:hAnsi="仿宋" w:eastAsia="仿宋" w:cs="仿宋"/>
              <w:sz w:val="24"/>
            </w:rPr>
            <w:t>2</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_Toc8790 </w:instrText>
          </w:r>
          <w:r>
            <w:rPr>
              <w:rFonts w:hint="eastAsia" w:ascii="仿宋" w:hAnsi="仿宋" w:eastAsia="仿宋" w:cs="仿宋"/>
              <w:sz w:val="24"/>
            </w:rPr>
            <w:fldChar w:fldCharType="separate"/>
          </w:r>
          <w:r>
            <w:rPr>
              <w:rFonts w:hint="eastAsia" w:ascii="仿宋" w:hAnsi="仿宋" w:eastAsia="仿宋" w:cs="仿宋"/>
              <w:sz w:val="24"/>
              <w:szCs w:val="24"/>
            </w:rPr>
            <w:t>（二）公司使命和价值观陈述</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_Toc8790 \h </w:instrText>
          </w:r>
          <w:r>
            <w:rPr>
              <w:rFonts w:hint="eastAsia" w:ascii="仿宋" w:hAnsi="仿宋" w:eastAsia="仿宋" w:cs="仿宋"/>
              <w:sz w:val="24"/>
            </w:rPr>
            <w:fldChar w:fldCharType="separate"/>
          </w:r>
          <w:r>
            <w:rPr>
              <w:rFonts w:hint="eastAsia" w:ascii="仿宋" w:hAnsi="仿宋" w:eastAsia="仿宋" w:cs="仿宋"/>
              <w:sz w:val="24"/>
            </w:rPr>
            <w:t>2</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_Toc9750 </w:instrText>
          </w:r>
          <w:r>
            <w:rPr>
              <w:rFonts w:hint="eastAsia" w:ascii="仿宋" w:hAnsi="仿宋" w:eastAsia="仿宋" w:cs="仿宋"/>
              <w:sz w:val="24"/>
            </w:rPr>
            <w:fldChar w:fldCharType="separate"/>
          </w:r>
          <w:r>
            <w:rPr>
              <w:rFonts w:hint="eastAsia" w:ascii="仿宋" w:hAnsi="仿宋" w:eastAsia="仿宋" w:cs="仿宋"/>
              <w:sz w:val="24"/>
              <w:szCs w:val="24"/>
            </w:rPr>
            <w:t>（三）公司对社会责任的认识与定位</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_Toc9750 \h </w:instrText>
          </w:r>
          <w:r>
            <w:rPr>
              <w:rFonts w:hint="eastAsia" w:ascii="仿宋" w:hAnsi="仿宋" w:eastAsia="仿宋" w:cs="仿宋"/>
              <w:sz w:val="24"/>
            </w:rPr>
            <w:fldChar w:fldCharType="separate"/>
          </w:r>
          <w:r>
            <w:rPr>
              <w:rFonts w:hint="eastAsia" w:ascii="仿宋" w:hAnsi="仿宋" w:eastAsia="仿宋" w:cs="仿宋"/>
              <w:sz w:val="24"/>
            </w:rPr>
            <w:t>2</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6"/>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_Toc7276 </w:instrText>
          </w:r>
          <w:r>
            <w:rPr>
              <w:rFonts w:hint="eastAsia" w:ascii="仿宋" w:hAnsi="仿宋" w:eastAsia="仿宋" w:cs="仿宋"/>
              <w:sz w:val="24"/>
            </w:rPr>
            <w:fldChar w:fldCharType="separate"/>
          </w:r>
          <w:r>
            <w:rPr>
              <w:rFonts w:hint="eastAsia" w:ascii="仿宋" w:hAnsi="仿宋" w:eastAsia="仿宋" w:cs="仿宋"/>
              <w:bCs/>
              <w:sz w:val="24"/>
              <w:szCs w:val="24"/>
            </w:rPr>
            <w:t>二、公司概况</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_Toc7276 \h </w:instrText>
          </w:r>
          <w:r>
            <w:rPr>
              <w:rFonts w:hint="eastAsia" w:ascii="仿宋" w:hAnsi="仿宋" w:eastAsia="仿宋" w:cs="仿宋"/>
              <w:sz w:val="24"/>
            </w:rPr>
            <w:fldChar w:fldCharType="separate"/>
          </w:r>
          <w:r>
            <w:rPr>
              <w:rFonts w:hint="eastAsia" w:ascii="仿宋" w:hAnsi="仿宋" w:eastAsia="仿宋" w:cs="仿宋"/>
              <w:sz w:val="24"/>
            </w:rPr>
            <w:t>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_Toc11956 </w:instrText>
          </w:r>
          <w:r>
            <w:rPr>
              <w:rFonts w:hint="eastAsia" w:ascii="仿宋" w:hAnsi="仿宋" w:eastAsia="仿宋" w:cs="仿宋"/>
              <w:sz w:val="24"/>
            </w:rPr>
            <w:fldChar w:fldCharType="separate"/>
          </w:r>
          <w:r>
            <w:rPr>
              <w:rFonts w:hint="eastAsia" w:ascii="仿宋" w:hAnsi="仿宋" w:eastAsia="仿宋" w:cs="仿宋"/>
              <w:sz w:val="24"/>
              <w:szCs w:val="24"/>
            </w:rPr>
            <w:t>（一）公司概况</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_Toc11956 \h </w:instrText>
          </w:r>
          <w:r>
            <w:rPr>
              <w:rFonts w:hint="eastAsia" w:ascii="仿宋" w:hAnsi="仿宋" w:eastAsia="仿宋" w:cs="仿宋"/>
              <w:sz w:val="24"/>
            </w:rPr>
            <w:fldChar w:fldCharType="separate"/>
          </w:r>
          <w:r>
            <w:rPr>
              <w:rFonts w:hint="eastAsia" w:ascii="仿宋" w:hAnsi="仿宋" w:eastAsia="仿宋" w:cs="仿宋"/>
              <w:sz w:val="24"/>
            </w:rPr>
            <w:t>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_Toc20259 </w:instrText>
          </w:r>
          <w:r>
            <w:rPr>
              <w:rFonts w:hint="eastAsia" w:ascii="仿宋" w:hAnsi="仿宋" w:eastAsia="仿宋" w:cs="仿宋"/>
              <w:sz w:val="24"/>
            </w:rPr>
            <w:fldChar w:fldCharType="separate"/>
          </w:r>
          <w:r>
            <w:rPr>
              <w:rFonts w:hint="eastAsia" w:ascii="仿宋" w:hAnsi="仿宋" w:eastAsia="仿宋" w:cs="仿宋"/>
              <w:sz w:val="24"/>
              <w:szCs w:val="24"/>
            </w:rPr>
            <w:t>（二）公司大事记</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_Toc20259 \h </w:instrText>
          </w:r>
          <w:r>
            <w:rPr>
              <w:rFonts w:hint="eastAsia" w:ascii="仿宋" w:hAnsi="仿宋" w:eastAsia="仿宋" w:cs="仿宋"/>
              <w:sz w:val="24"/>
            </w:rPr>
            <w:fldChar w:fldCharType="separate"/>
          </w:r>
          <w:r>
            <w:rPr>
              <w:rFonts w:hint="eastAsia" w:ascii="仿宋" w:hAnsi="仿宋" w:eastAsia="仿宋" w:cs="仿宋"/>
              <w:sz w:val="24"/>
            </w:rPr>
            <w:t>4</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_Toc12722 </w:instrText>
          </w:r>
          <w:r>
            <w:rPr>
              <w:rFonts w:hint="eastAsia" w:ascii="仿宋" w:hAnsi="仿宋" w:eastAsia="仿宋" w:cs="仿宋"/>
              <w:sz w:val="24"/>
            </w:rPr>
            <w:fldChar w:fldCharType="separate"/>
          </w:r>
          <w:r>
            <w:rPr>
              <w:rFonts w:hint="eastAsia" w:ascii="仿宋" w:hAnsi="仿宋" w:eastAsia="仿宋" w:cs="仿宋"/>
              <w:sz w:val="24"/>
              <w:szCs w:val="24"/>
            </w:rPr>
            <w:t>（三）公司利益相关者关系</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_Toc12722 \h </w:instrText>
          </w:r>
          <w:r>
            <w:rPr>
              <w:rFonts w:hint="eastAsia" w:ascii="仿宋" w:hAnsi="仿宋" w:eastAsia="仿宋" w:cs="仿宋"/>
              <w:sz w:val="24"/>
            </w:rPr>
            <w:fldChar w:fldCharType="separate"/>
          </w:r>
          <w:r>
            <w:rPr>
              <w:rFonts w:hint="eastAsia" w:ascii="仿宋" w:hAnsi="仿宋" w:eastAsia="仿宋" w:cs="仿宋"/>
              <w:sz w:val="24"/>
            </w:rPr>
            <w:t>5</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_Toc8545 </w:instrText>
          </w:r>
          <w:r>
            <w:rPr>
              <w:rFonts w:hint="eastAsia" w:ascii="仿宋" w:hAnsi="仿宋" w:eastAsia="仿宋" w:cs="仿宋"/>
              <w:sz w:val="24"/>
            </w:rPr>
            <w:fldChar w:fldCharType="separate"/>
          </w:r>
          <w:r>
            <w:rPr>
              <w:rFonts w:hint="eastAsia" w:ascii="仿宋" w:hAnsi="仿宋" w:eastAsia="仿宋" w:cs="仿宋"/>
              <w:sz w:val="24"/>
              <w:szCs w:val="24"/>
            </w:rPr>
            <w:t>（四）本报告内容的范围和概况</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_Toc8545 \h </w:instrText>
          </w:r>
          <w:r>
            <w:rPr>
              <w:rFonts w:hint="eastAsia" w:ascii="仿宋" w:hAnsi="仿宋" w:eastAsia="仿宋" w:cs="仿宋"/>
              <w:sz w:val="24"/>
            </w:rPr>
            <w:fldChar w:fldCharType="separate"/>
          </w:r>
          <w:r>
            <w:rPr>
              <w:rFonts w:hint="eastAsia" w:ascii="仿宋" w:hAnsi="仿宋" w:eastAsia="仿宋" w:cs="仿宋"/>
              <w:sz w:val="24"/>
            </w:rPr>
            <w:t>6</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6"/>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_Toc9073 </w:instrText>
          </w:r>
          <w:r>
            <w:rPr>
              <w:rFonts w:hint="eastAsia" w:ascii="仿宋" w:hAnsi="仿宋" w:eastAsia="仿宋" w:cs="仿宋"/>
              <w:sz w:val="24"/>
            </w:rPr>
            <w:fldChar w:fldCharType="separate"/>
          </w:r>
          <w:r>
            <w:rPr>
              <w:rFonts w:hint="eastAsia" w:ascii="仿宋" w:hAnsi="仿宋" w:eastAsia="仿宋" w:cs="仿宋"/>
              <w:bCs/>
              <w:sz w:val="24"/>
              <w:szCs w:val="24"/>
            </w:rPr>
            <w:t>三、公司治理结构与管理体制</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_Toc9073 \h </w:instrText>
          </w:r>
          <w:r>
            <w:rPr>
              <w:rFonts w:hint="eastAsia" w:ascii="仿宋" w:hAnsi="仿宋" w:eastAsia="仿宋" w:cs="仿宋"/>
              <w:sz w:val="24"/>
            </w:rPr>
            <w:fldChar w:fldCharType="separate"/>
          </w:r>
          <w:r>
            <w:rPr>
              <w:rFonts w:hint="eastAsia" w:ascii="仿宋" w:hAnsi="仿宋" w:eastAsia="仿宋" w:cs="仿宋"/>
              <w:sz w:val="24"/>
            </w:rPr>
            <w:t>7</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_Toc9308 </w:instrText>
          </w:r>
          <w:r>
            <w:rPr>
              <w:rFonts w:hint="eastAsia" w:ascii="仿宋" w:hAnsi="仿宋" w:eastAsia="仿宋" w:cs="仿宋"/>
              <w:sz w:val="24"/>
            </w:rPr>
            <w:fldChar w:fldCharType="separate"/>
          </w:r>
          <w:r>
            <w:rPr>
              <w:rFonts w:hint="eastAsia" w:ascii="仿宋" w:hAnsi="仿宋" w:eastAsia="仿宋" w:cs="仿宋"/>
              <w:sz w:val="24"/>
              <w:szCs w:val="24"/>
            </w:rPr>
            <w:t>（一）股东责权</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_Toc9308 \h </w:instrText>
          </w:r>
          <w:r>
            <w:rPr>
              <w:rFonts w:hint="eastAsia" w:ascii="仿宋" w:hAnsi="仿宋" w:eastAsia="仿宋" w:cs="仿宋"/>
              <w:sz w:val="24"/>
            </w:rPr>
            <w:fldChar w:fldCharType="separate"/>
          </w:r>
          <w:r>
            <w:rPr>
              <w:rFonts w:hint="eastAsia" w:ascii="仿宋" w:hAnsi="仿宋" w:eastAsia="仿宋" w:cs="仿宋"/>
              <w:sz w:val="24"/>
            </w:rPr>
            <w:t>7</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_Toc23797 </w:instrText>
          </w:r>
          <w:r>
            <w:rPr>
              <w:rFonts w:hint="eastAsia" w:ascii="仿宋" w:hAnsi="仿宋" w:eastAsia="仿宋" w:cs="仿宋"/>
              <w:sz w:val="24"/>
            </w:rPr>
            <w:fldChar w:fldCharType="separate"/>
          </w:r>
          <w:r>
            <w:rPr>
              <w:rFonts w:hint="eastAsia" w:ascii="仿宋" w:hAnsi="仿宋" w:eastAsia="仿宋" w:cs="仿宋"/>
              <w:sz w:val="24"/>
              <w:szCs w:val="24"/>
            </w:rPr>
            <w:t>（二）公司组织结构与有关人员情况</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_Toc23797 \h </w:instrText>
          </w:r>
          <w:r>
            <w:rPr>
              <w:rFonts w:hint="eastAsia" w:ascii="仿宋" w:hAnsi="仿宋" w:eastAsia="仿宋" w:cs="仿宋"/>
              <w:sz w:val="24"/>
            </w:rPr>
            <w:fldChar w:fldCharType="separate"/>
          </w:r>
          <w:r>
            <w:rPr>
              <w:rFonts w:hint="eastAsia" w:ascii="仿宋" w:hAnsi="仿宋" w:eastAsia="仿宋" w:cs="仿宋"/>
              <w:sz w:val="24"/>
            </w:rPr>
            <w:t>9</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_Toc20234 </w:instrText>
          </w:r>
          <w:r>
            <w:rPr>
              <w:rFonts w:hint="eastAsia" w:ascii="仿宋" w:hAnsi="仿宋" w:eastAsia="仿宋" w:cs="仿宋"/>
              <w:sz w:val="24"/>
            </w:rPr>
            <w:fldChar w:fldCharType="separate"/>
          </w:r>
          <w:r>
            <w:rPr>
              <w:rFonts w:hint="eastAsia" w:ascii="仿宋" w:hAnsi="仿宋" w:eastAsia="仿宋" w:cs="仿宋"/>
              <w:sz w:val="24"/>
              <w:szCs w:val="24"/>
            </w:rPr>
            <w:t>（三）与经济、环境和社会业绩相关的政策及其实施情况</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_Toc20234 \h </w:instrText>
          </w:r>
          <w:r>
            <w:rPr>
              <w:rFonts w:hint="eastAsia" w:ascii="仿宋" w:hAnsi="仿宋" w:eastAsia="仿宋" w:cs="仿宋"/>
              <w:sz w:val="24"/>
            </w:rPr>
            <w:fldChar w:fldCharType="separate"/>
          </w:r>
          <w:r>
            <w:rPr>
              <w:rFonts w:hint="eastAsia" w:ascii="仿宋" w:hAnsi="仿宋" w:eastAsia="仿宋" w:cs="仿宋"/>
              <w:sz w:val="24"/>
            </w:rPr>
            <w:t>10</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_Toc31580 </w:instrText>
          </w:r>
          <w:r>
            <w:rPr>
              <w:rFonts w:hint="eastAsia" w:ascii="仿宋" w:hAnsi="仿宋" w:eastAsia="仿宋" w:cs="仿宋"/>
              <w:sz w:val="24"/>
            </w:rPr>
            <w:fldChar w:fldCharType="separate"/>
          </w:r>
          <w:r>
            <w:rPr>
              <w:rFonts w:hint="eastAsia" w:ascii="仿宋" w:hAnsi="仿宋" w:eastAsia="仿宋" w:cs="仿宋"/>
              <w:sz w:val="24"/>
              <w:szCs w:val="24"/>
            </w:rPr>
            <w:t>（四）利益相关者参与</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_Toc31580 \h </w:instrText>
          </w:r>
          <w:r>
            <w:rPr>
              <w:rFonts w:hint="eastAsia" w:ascii="仿宋" w:hAnsi="仿宋" w:eastAsia="仿宋" w:cs="仿宋"/>
              <w:sz w:val="24"/>
            </w:rPr>
            <w:fldChar w:fldCharType="separate"/>
          </w:r>
          <w:r>
            <w:rPr>
              <w:rFonts w:hint="eastAsia" w:ascii="仿宋" w:hAnsi="仿宋" w:eastAsia="仿宋" w:cs="仿宋"/>
              <w:sz w:val="24"/>
            </w:rPr>
            <w:t>10</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_Toc11300 </w:instrText>
          </w:r>
          <w:r>
            <w:rPr>
              <w:rFonts w:hint="eastAsia" w:ascii="仿宋" w:hAnsi="仿宋" w:eastAsia="仿宋" w:cs="仿宋"/>
              <w:sz w:val="24"/>
            </w:rPr>
            <w:fldChar w:fldCharType="separate"/>
          </w:r>
          <w:r>
            <w:rPr>
              <w:rFonts w:hint="eastAsia" w:ascii="仿宋" w:hAnsi="仿宋" w:eastAsia="仿宋" w:cs="仿宋"/>
              <w:sz w:val="24"/>
              <w:szCs w:val="24"/>
            </w:rPr>
            <w:t>（五）履行经济、环境和社会责任的计划与步骤</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_Toc11300 \h </w:instrText>
          </w:r>
          <w:r>
            <w:rPr>
              <w:rFonts w:hint="eastAsia" w:ascii="仿宋" w:hAnsi="仿宋" w:eastAsia="仿宋" w:cs="仿宋"/>
              <w:sz w:val="24"/>
            </w:rPr>
            <w:fldChar w:fldCharType="separate"/>
          </w:r>
          <w:r>
            <w:rPr>
              <w:rFonts w:hint="eastAsia" w:ascii="仿宋" w:hAnsi="仿宋" w:eastAsia="仿宋" w:cs="仿宋"/>
              <w:sz w:val="24"/>
            </w:rPr>
            <w:t>10</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_Toc66 </w:instrText>
          </w:r>
          <w:r>
            <w:rPr>
              <w:rFonts w:hint="eastAsia" w:ascii="仿宋" w:hAnsi="仿宋" w:eastAsia="仿宋" w:cs="仿宋"/>
              <w:sz w:val="24"/>
            </w:rPr>
            <w:fldChar w:fldCharType="separate"/>
          </w:r>
          <w:r>
            <w:rPr>
              <w:rFonts w:hint="eastAsia" w:ascii="仿宋" w:hAnsi="仿宋" w:eastAsia="仿宋" w:cs="仿宋"/>
              <w:sz w:val="24"/>
              <w:szCs w:val="24"/>
              <w:highlight w:val="none"/>
            </w:rPr>
            <w:t>（六）取得经济、环境和社会管理体系有关的具有公信力的认证状况</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_Toc66 \h </w:instrText>
          </w:r>
          <w:r>
            <w:rPr>
              <w:rFonts w:hint="eastAsia" w:ascii="仿宋" w:hAnsi="仿宋" w:eastAsia="仿宋" w:cs="仿宋"/>
              <w:sz w:val="24"/>
            </w:rPr>
            <w:fldChar w:fldCharType="separate"/>
          </w:r>
          <w:r>
            <w:rPr>
              <w:rFonts w:hint="eastAsia" w:ascii="仿宋" w:hAnsi="仿宋" w:eastAsia="仿宋" w:cs="仿宋"/>
              <w:sz w:val="24"/>
            </w:rPr>
            <w:t>11</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6"/>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_Toc31095 </w:instrText>
          </w:r>
          <w:r>
            <w:rPr>
              <w:rFonts w:hint="eastAsia" w:ascii="仿宋" w:hAnsi="仿宋" w:eastAsia="仿宋" w:cs="仿宋"/>
              <w:sz w:val="24"/>
            </w:rPr>
            <w:fldChar w:fldCharType="separate"/>
          </w:r>
          <w:r>
            <w:rPr>
              <w:rFonts w:hint="eastAsia" w:ascii="仿宋" w:hAnsi="仿宋" w:eastAsia="仿宋" w:cs="仿宋"/>
              <w:bCs/>
              <w:sz w:val="24"/>
              <w:szCs w:val="24"/>
            </w:rPr>
            <w:t>四、经济责任与业绩</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_Toc31095 \h </w:instrText>
          </w:r>
          <w:r>
            <w:rPr>
              <w:rFonts w:hint="eastAsia" w:ascii="仿宋" w:hAnsi="仿宋" w:eastAsia="仿宋" w:cs="仿宋"/>
              <w:sz w:val="24"/>
            </w:rPr>
            <w:fldChar w:fldCharType="separate"/>
          </w:r>
          <w:r>
            <w:rPr>
              <w:rFonts w:hint="eastAsia" w:ascii="仿宋" w:hAnsi="仿宋" w:eastAsia="仿宋" w:cs="仿宋"/>
              <w:sz w:val="24"/>
            </w:rPr>
            <w:t>11</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_Toc29273 </w:instrText>
          </w:r>
          <w:r>
            <w:rPr>
              <w:rFonts w:hint="eastAsia" w:ascii="仿宋" w:hAnsi="仿宋" w:eastAsia="仿宋" w:cs="仿宋"/>
              <w:sz w:val="24"/>
            </w:rPr>
            <w:fldChar w:fldCharType="separate"/>
          </w:r>
          <w:r>
            <w:rPr>
              <w:rFonts w:hint="eastAsia" w:ascii="仿宋" w:hAnsi="仿宋" w:eastAsia="仿宋" w:cs="仿宋"/>
              <w:sz w:val="24"/>
              <w:szCs w:val="24"/>
            </w:rPr>
            <w:t>（一)公司经济发展大事记</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_Toc29273 \h </w:instrText>
          </w:r>
          <w:r>
            <w:rPr>
              <w:rFonts w:hint="eastAsia" w:ascii="仿宋" w:hAnsi="仿宋" w:eastAsia="仿宋" w:cs="仿宋"/>
              <w:sz w:val="24"/>
            </w:rPr>
            <w:fldChar w:fldCharType="separate"/>
          </w:r>
          <w:r>
            <w:rPr>
              <w:rFonts w:hint="eastAsia" w:ascii="仿宋" w:hAnsi="仿宋" w:eastAsia="仿宋" w:cs="仿宋"/>
              <w:sz w:val="24"/>
            </w:rPr>
            <w:t>11</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_Toc19103 </w:instrText>
          </w:r>
          <w:r>
            <w:rPr>
              <w:rFonts w:hint="eastAsia" w:ascii="仿宋" w:hAnsi="仿宋" w:eastAsia="仿宋" w:cs="仿宋"/>
              <w:sz w:val="24"/>
            </w:rPr>
            <w:fldChar w:fldCharType="separate"/>
          </w:r>
          <w:r>
            <w:rPr>
              <w:rFonts w:hint="eastAsia" w:ascii="仿宋" w:hAnsi="仿宋" w:eastAsia="仿宋" w:cs="仿宋"/>
              <w:sz w:val="24"/>
              <w:szCs w:val="24"/>
            </w:rPr>
            <w:t>（二）公司各类指标</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_Toc19103 \h </w:instrText>
          </w:r>
          <w:r>
            <w:rPr>
              <w:rFonts w:hint="eastAsia" w:ascii="仿宋" w:hAnsi="仿宋" w:eastAsia="仿宋" w:cs="仿宋"/>
              <w:sz w:val="24"/>
            </w:rPr>
            <w:fldChar w:fldCharType="separate"/>
          </w:r>
          <w:r>
            <w:rPr>
              <w:rFonts w:hint="eastAsia" w:ascii="仿宋" w:hAnsi="仿宋" w:eastAsia="仿宋" w:cs="仿宋"/>
              <w:sz w:val="24"/>
            </w:rPr>
            <w:t>11</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_Toc26554 </w:instrText>
          </w:r>
          <w:r>
            <w:rPr>
              <w:rFonts w:hint="eastAsia" w:ascii="仿宋" w:hAnsi="仿宋" w:eastAsia="仿宋" w:cs="仿宋"/>
              <w:sz w:val="24"/>
            </w:rPr>
            <w:fldChar w:fldCharType="separate"/>
          </w:r>
          <w:r>
            <w:rPr>
              <w:rFonts w:hint="eastAsia" w:ascii="仿宋" w:hAnsi="仿宋" w:eastAsia="仿宋" w:cs="仿宋"/>
              <w:sz w:val="24"/>
              <w:szCs w:val="24"/>
            </w:rPr>
            <w:t>（三）对利益相关者的利益分配</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_Toc26554 \h </w:instrText>
          </w:r>
          <w:r>
            <w:rPr>
              <w:rFonts w:hint="eastAsia" w:ascii="仿宋" w:hAnsi="仿宋" w:eastAsia="仿宋" w:cs="仿宋"/>
              <w:sz w:val="24"/>
            </w:rPr>
            <w:fldChar w:fldCharType="separate"/>
          </w:r>
          <w:r>
            <w:rPr>
              <w:rFonts w:hint="eastAsia" w:ascii="仿宋" w:hAnsi="仿宋" w:eastAsia="仿宋" w:cs="仿宋"/>
              <w:sz w:val="24"/>
            </w:rPr>
            <w:t>11</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_Toc4756 </w:instrText>
          </w:r>
          <w:r>
            <w:rPr>
              <w:rFonts w:hint="eastAsia" w:ascii="仿宋" w:hAnsi="仿宋" w:eastAsia="仿宋" w:cs="仿宋"/>
              <w:sz w:val="24"/>
            </w:rPr>
            <w:fldChar w:fldCharType="separate"/>
          </w:r>
          <w:r>
            <w:rPr>
              <w:rFonts w:hint="eastAsia" w:ascii="仿宋" w:hAnsi="仿宋" w:eastAsia="仿宋" w:cs="仿宋"/>
              <w:sz w:val="24"/>
              <w:szCs w:val="24"/>
            </w:rPr>
            <w:t>（四）研究开发的投入及成果</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_Toc4756 \h </w:instrText>
          </w:r>
          <w:r>
            <w:rPr>
              <w:rFonts w:hint="eastAsia" w:ascii="仿宋" w:hAnsi="仿宋" w:eastAsia="仿宋" w:cs="仿宋"/>
              <w:sz w:val="24"/>
            </w:rPr>
            <w:fldChar w:fldCharType="separate"/>
          </w:r>
          <w:r>
            <w:rPr>
              <w:rFonts w:hint="eastAsia" w:ascii="仿宋" w:hAnsi="仿宋" w:eastAsia="仿宋" w:cs="仿宋"/>
              <w:sz w:val="24"/>
            </w:rPr>
            <w:t>12</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_Toc28596 </w:instrText>
          </w:r>
          <w:r>
            <w:rPr>
              <w:rFonts w:hint="eastAsia" w:ascii="仿宋" w:hAnsi="仿宋" w:eastAsia="仿宋" w:cs="仿宋"/>
              <w:sz w:val="24"/>
            </w:rPr>
            <w:fldChar w:fldCharType="separate"/>
          </w:r>
          <w:r>
            <w:rPr>
              <w:rFonts w:hint="eastAsia" w:ascii="仿宋" w:hAnsi="仿宋" w:eastAsia="仿宋" w:cs="仿宋"/>
              <w:sz w:val="24"/>
              <w:szCs w:val="24"/>
            </w:rPr>
            <w:t>（五）固定资产投资及评估</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_Toc28596 \h </w:instrText>
          </w:r>
          <w:r>
            <w:rPr>
              <w:rFonts w:hint="eastAsia" w:ascii="仿宋" w:hAnsi="仿宋" w:eastAsia="仿宋" w:cs="仿宋"/>
              <w:sz w:val="24"/>
            </w:rPr>
            <w:fldChar w:fldCharType="separate"/>
          </w:r>
          <w:r>
            <w:rPr>
              <w:rFonts w:hint="eastAsia" w:ascii="仿宋" w:hAnsi="仿宋" w:eastAsia="仿宋" w:cs="仿宋"/>
              <w:sz w:val="24"/>
            </w:rPr>
            <w:t>13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6"/>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_Toc21177 </w:instrText>
          </w:r>
          <w:r>
            <w:rPr>
              <w:rFonts w:hint="eastAsia" w:ascii="仿宋" w:hAnsi="仿宋" w:eastAsia="仿宋" w:cs="仿宋"/>
              <w:sz w:val="24"/>
            </w:rPr>
            <w:fldChar w:fldCharType="separate"/>
          </w:r>
          <w:r>
            <w:rPr>
              <w:rFonts w:hint="eastAsia" w:ascii="仿宋" w:hAnsi="仿宋" w:eastAsia="仿宋" w:cs="仿宋"/>
              <w:bCs/>
              <w:sz w:val="24"/>
              <w:szCs w:val="24"/>
            </w:rPr>
            <w:t>五、社会责任与业绩</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_Toc21177 \h </w:instrText>
          </w:r>
          <w:r>
            <w:rPr>
              <w:rFonts w:hint="eastAsia" w:ascii="仿宋" w:hAnsi="仿宋" w:eastAsia="仿宋" w:cs="仿宋"/>
              <w:sz w:val="24"/>
            </w:rPr>
            <w:fldChar w:fldCharType="separate"/>
          </w:r>
          <w:r>
            <w:rPr>
              <w:rFonts w:hint="eastAsia" w:ascii="仿宋" w:hAnsi="仿宋" w:eastAsia="仿宋" w:cs="仿宋"/>
              <w:sz w:val="24"/>
            </w:rPr>
            <w:t>13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_Toc16425 </w:instrText>
          </w:r>
          <w:r>
            <w:rPr>
              <w:rFonts w:hint="eastAsia" w:ascii="仿宋" w:hAnsi="仿宋" w:eastAsia="仿宋" w:cs="仿宋"/>
              <w:sz w:val="24"/>
            </w:rPr>
            <w:fldChar w:fldCharType="separate"/>
          </w:r>
          <w:r>
            <w:rPr>
              <w:rFonts w:hint="eastAsia" w:ascii="仿宋" w:hAnsi="仿宋" w:eastAsia="仿宋" w:cs="仿宋"/>
              <w:sz w:val="24"/>
              <w:szCs w:val="24"/>
            </w:rPr>
            <w:t>（一）公司社会责任大事记</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_Toc16425 \h </w:instrText>
          </w:r>
          <w:r>
            <w:rPr>
              <w:rFonts w:hint="eastAsia" w:ascii="仿宋" w:hAnsi="仿宋" w:eastAsia="仿宋" w:cs="仿宋"/>
              <w:sz w:val="24"/>
            </w:rPr>
            <w:fldChar w:fldCharType="separate"/>
          </w:r>
          <w:r>
            <w:rPr>
              <w:rFonts w:hint="eastAsia" w:ascii="仿宋" w:hAnsi="仿宋" w:eastAsia="仿宋" w:cs="仿宋"/>
              <w:sz w:val="24"/>
            </w:rPr>
            <w:t>13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_Toc25422 </w:instrText>
          </w:r>
          <w:r>
            <w:rPr>
              <w:rFonts w:hint="eastAsia" w:ascii="仿宋" w:hAnsi="仿宋" w:eastAsia="仿宋" w:cs="仿宋"/>
              <w:sz w:val="24"/>
            </w:rPr>
            <w:fldChar w:fldCharType="separate"/>
          </w:r>
          <w:r>
            <w:rPr>
              <w:rFonts w:hint="eastAsia" w:ascii="仿宋" w:hAnsi="仿宋" w:eastAsia="仿宋" w:cs="仿宋"/>
              <w:sz w:val="24"/>
              <w:szCs w:val="24"/>
            </w:rPr>
            <w:t>（二）员工管理与合理的工作</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_Toc25422 \h </w:instrText>
          </w:r>
          <w:r>
            <w:rPr>
              <w:rFonts w:hint="eastAsia" w:ascii="仿宋" w:hAnsi="仿宋" w:eastAsia="仿宋" w:cs="仿宋"/>
              <w:sz w:val="24"/>
            </w:rPr>
            <w:fldChar w:fldCharType="separate"/>
          </w:r>
          <w:r>
            <w:rPr>
              <w:rFonts w:hint="eastAsia" w:ascii="仿宋" w:hAnsi="仿宋" w:eastAsia="仿宋" w:cs="仿宋"/>
              <w:sz w:val="24"/>
            </w:rPr>
            <w:t>14</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_Toc27317 </w:instrText>
          </w:r>
          <w:r>
            <w:rPr>
              <w:rFonts w:hint="eastAsia" w:ascii="仿宋" w:hAnsi="仿宋" w:eastAsia="仿宋" w:cs="仿宋"/>
              <w:sz w:val="24"/>
            </w:rPr>
            <w:fldChar w:fldCharType="separate"/>
          </w:r>
          <w:r>
            <w:rPr>
              <w:rFonts w:hint="eastAsia" w:ascii="仿宋" w:hAnsi="仿宋" w:eastAsia="仿宋" w:cs="仿宋"/>
              <w:sz w:val="24"/>
              <w:szCs w:val="24"/>
            </w:rPr>
            <w:t>（三）员工权利</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_Toc27317 \h </w:instrText>
          </w:r>
          <w:r>
            <w:rPr>
              <w:rFonts w:hint="eastAsia" w:ascii="仿宋" w:hAnsi="仿宋" w:eastAsia="仿宋" w:cs="仿宋"/>
              <w:sz w:val="24"/>
            </w:rPr>
            <w:fldChar w:fldCharType="separate"/>
          </w:r>
          <w:r>
            <w:rPr>
              <w:rFonts w:hint="eastAsia" w:ascii="仿宋" w:hAnsi="仿宋" w:eastAsia="仿宋" w:cs="仿宋"/>
              <w:sz w:val="24"/>
            </w:rPr>
            <w:t>17</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7"/>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_Toc10347 </w:instrText>
          </w:r>
          <w:r>
            <w:rPr>
              <w:rFonts w:hint="eastAsia" w:ascii="仿宋" w:hAnsi="仿宋" w:eastAsia="仿宋" w:cs="仿宋"/>
              <w:sz w:val="24"/>
            </w:rPr>
            <w:fldChar w:fldCharType="separate"/>
          </w:r>
          <w:r>
            <w:rPr>
              <w:rFonts w:hint="eastAsia" w:ascii="仿宋" w:hAnsi="仿宋" w:eastAsia="仿宋" w:cs="仿宋"/>
              <w:sz w:val="24"/>
              <w:szCs w:val="24"/>
            </w:rPr>
            <w:t>（四）社会影响</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_Toc10347 \h </w:instrText>
          </w:r>
          <w:r>
            <w:rPr>
              <w:rFonts w:hint="eastAsia" w:ascii="仿宋" w:hAnsi="仿宋" w:eastAsia="仿宋" w:cs="仿宋"/>
              <w:sz w:val="24"/>
            </w:rPr>
            <w:fldChar w:fldCharType="separate"/>
          </w:r>
          <w:r>
            <w:rPr>
              <w:rFonts w:hint="eastAsia" w:ascii="仿宋" w:hAnsi="仿宋" w:eastAsia="仿宋" w:cs="仿宋"/>
              <w:sz w:val="24"/>
            </w:rPr>
            <w:t>17</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6"/>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_Toc16440 </w:instrText>
          </w:r>
          <w:r>
            <w:rPr>
              <w:rFonts w:hint="eastAsia" w:ascii="仿宋" w:hAnsi="仿宋" w:eastAsia="仿宋" w:cs="仿宋"/>
              <w:sz w:val="24"/>
            </w:rPr>
            <w:fldChar w:fldCharType="separate"/>
          </w:r>
          <w:r>
            <w:rPr>
              <w:rFonts w:hint="eastAsia" w:ascii="仿宋" w:hAnsi="仿宋" w:eastAsia="仿宋" w:cs="仿宋"/>
              <w:bCs/>
              <w:sz w:val="24"/>
              <w:szCs w:val="24"/>
            </w:rPr>
            <w:t>六、环境责任与业绩</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_Toc16440 \h </w:instrText>
          </w:r>
          <w:r>
            <w:rPr>
              <w:rFonts w:hint="eastAsia" w:ascii="仿宋" w:hAnsi="仿宋" w:eastAsia="仿宋" w:cs="仿宋"/>
              <w:sz w:val="24"/>
            </w:rPr>
            <w:fldChar w:fldCharType="separate"/>
          </w:r>
          <w:r>
            <w:rPr>
              <w:rFonts w:hint="eastAsia" w:ascii="仿宋" w:hAnsi="仿宋" w:eastAsia="仿宋" w:cs="仿宋"/>
              <w:sz w:val="24"/>
            </w:rPr>
            <w:t>18</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6"/>
            <w:tabs>
              <w:tab w:val="right" w:leader="dot" w:pos="8306"/>
            </w:tabs>
            <w:rPr>
              <w:rFonts w:hint="eastAsia"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HYPERLINK \l _Toc24567 </w:instrText>
          </w:r>
          <w:r>
            <w:rPr>
              <w:rFonts w:hint="eastAsia" w:ascii="仿宋" w:hAnsi="仿宋" w:eastAsia="仿宋" w:cs="仿宋"/>
              <w:sz w:val="24"/>
            </w:rPr>
            <w:fldChar w:fldCharType="separate"/>
          </w:r>
          <w:r>
            <w:rPr>
              <w:rFonts w:hint="eastAsia" w:ascii="仿宋" w:hAnsi="仿宋" w:eastAsia="仿宋" w:cs="仿宋"/>
              <w:bCs/>
              <w:sz w:val="24"/>
              <w:szCs w:val="24"/>
            </w:rPr>
            <w:t>七、附录</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_Toc24567 \h </w:instrText>
          </w:r>
          <w:r>
            <w:rPr>
              <w:rFonts w:hint="eastAsia" w:ascii="仿宋" w:hAnsi="仿宋" w:eastAsia="仿宋" w:cs="仿宋"/>
              <w:sz w:val="24"/>
            </w:rPr>
            <w:fldChar w:fldCharType="separate"/>
          </w:r>
          <w:r>
            <w:rPr>
              <w:rFonts w:hint="eastAsia" w:ascii="仿宋" w:hAnsi="仿宋" w:eastAsia="仿宋" w:cs="仿宋"/>
              <w:sz w:val="24"/>
            </w:rPr>
            <w:t>19</w:t>
          </w:r>
          <w:r>
            <w:rPr>
              <w:rFonts w:hint="eastAsia" w:ascii="仿宋" w:hAnsi="仿宋" w:eastAsia="仿宋" w:cs="仿宋"/>
              <w:sz w:val="24"/>
            </w:rPr>
            <w:fldChar w:fldCharType="end"/>
          </w:r>
          <w:r>
            <w:rPr>
              <w:rFonts w:hint="eastAsia" w:ascii="仿宋" w:hAnsi="仿宋" w:eastAsia="仿宋" w:cs="仿宋"/>
              <w:sz w:val="24"/>
            </w:rPr>
            <w:fldChar w:fldCharType="end"/>
          </w:r>
        </w:p>
        <w:p>
          <w:pPr>
            <w:rPr>
              <w:sz w:val="24"/>
            </w:rPr>
          </w:pPr>
          <w:r>
            <w:rPr>
              <w:rFonts w:hint="eastAsia" w:ascii="仿宋" w:hAnsi="仿宋" w:eastAsia="仿宋" w:cs="仿宋"/>
              <w:sz w:val="24"/>
            </w:rPr>
            <w:fldChar w:fldCharType="end"/>
          </w:r>
        </w:p>
      </w:sdtContent>
    </w:sdt>
    <w:p>
      <w:pPr>
        <w:spacing w:after="312" w:afterLines="100" w:line="580" w:lineRule="exact"/>
        <w:ind w:firstLine="480" w:firstLineChars="200"/>
        <w:jc w:val="center"/>
        <w:rPr>
          <w:rFonts w:ascii="宋体" w:hAnsi="宋体" w:cs="宋体"/>
          <w:sz w:val="24"/>
          <w:szCs w:val="24"/>
        </w:rPr>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pPr>
    </w:p>
    <w:p>
      <w:pPr>
        <w:spacing w:line="580" w:lineRule="exact"/>
        <w:ind w:firstLine="0" w:firstLineChars="0"/>
        <w:jc w:val="center"/>
        <w:rPr>
          <w:rFonts w:ascii="宋体" w:hAnsi="宋体" w:cs="宋体"/>
          <w:sz w:val="44"/>
          <w:szCs w:val="44"/>
        </w:rPr>
      </w:pPr>
      <w:bookmarkStart w:id="1" w:name="_Toc13972"/>
      <w:bookmarkStart w:id="2" w:name="_Toc8059"/>
      <w:bookmarkStart w:id="3" w:name="OLE_LINK3"/>
      <w:r>
        <w:rPr>
          <w:rFonts w:hint="eastAsia" w:ascii="宋体" w:hAnsi="宋体" w:cs="宋体"/>
          <w:sz w:val="44"/>
          <w:szCs w:val="44"/>
        </w:rPr>
        <w:t>天风期货股份有限公司</w:t>
      </w:r>
      <w:bookmarkEnd w:id="1"/>
      <w:bookmarkEnd w:id="2"/>
    </w:p>
    <w:p>
      <w:pPr>
        <w:spacing w:after="312" w:afterLines="100" w:line="580" w:lineRule="exact"/>
        <w:ind w:firstLine="0" w:firstLineChars="0"/>
        <w:jc w:val="center"/>
        <w:rPr>
          <w:rFonts w:ascii="宋体" w:hAnsi="宋体" w:cs="宋体"/>
          <w:sz w:val="44"/>
          <w:szCs w:val="44"/>
        </w:rPr>
      </w:pPr>
      <w:bookmarkStart w:id="4" w:name="_Toc20087"/>
      <w:bookmarkStart w:id="5" w:name="_Toc27319"/>
      <w:r>
        <w:rPr>
          <w:rFonts w:hint="eastAsia" w:ascii="宋体" w:hAnsi="宋体" w:cs="宋体"/>
          <w:sz w:val="44"/>
          <w:szCs w:val="44"/>
        </w:rPr>
        <w:t>2020年度社会责任报告</w:t>
      </w:r>
      <w:bookmarkEnd w:id="4"/>
      <w:bookmarkEnd w:id="5"/>
    </w:p>
    <w:bookmarkEnd w:id="3"/>
    <w:p>
      <w:pPr>
        <w:spacing w:line="580" w:lineRule="exact"/>
        <w:ind w:firstLine="640" w:firstLineChars="200"/>
        <w:jc w:val="left"/>
        <w:outlineLvl w:val="0"/>
        <w:rPr>
          <w:rFonts w:ascii="黑体" w:hAnsi="黑体" w:eastAsia="黑体" w:cs="黑体"/>
          <w:b w:val="0"/>
          <w:bCs/>
          <w:sz w:val="32"/>
          <w:szCs w:val="32"/>
        </w:rPr>
      </w:pPr>
      <w:bookmarkStart w:id="6" w:name="_Toc16439"/>
      <w:bookmarkStart w:id="7" w:name="_Toc17337"/>
      <w:bookmarkStart w:id="8" w:name="_Toc20241"/>
      <w:bookmarkStart w:id="9" w:name="_Toc24107"/>
      <w:bookmarkStart w:id="10" w:name="_Toc19031"/>
      <w:bookmarkStart w:id="11" w:name="_Toc20557"/>
      <w:bookmarkStart w:id="12" w:name="_Toc159"/>
      <w:bookmarkStart w:id="13" w:name="_Toc24998"/>
      <w:bookmarkStart w:id="14" w:name="_Toc12774"/>
      <w:bookmarkStart w:id="15" w:name="_Toc9614"/>
      <w:r>
        <w:rPr>
          <w:rFonts w:hint="eastAsia" w:ascii="黑体" w:hAnsi="黑体" w:eastAsia="黑体" w:cs="黑体"/>
          <w:bCs/>
          <w:sz w:val="32"/>
          <w:szCs w:val="32"/>
        </w:rPr>
        <w:t>一、</w:t>
      </w:r>
      <w:r>
        <w:rPr>
          <w:rFonts w:hint="eastAsia" w:ascii="黑体" w:hAnsi="黑体" w:eastAsia="黑体" w:cs="黑体"/>
          <w:b w:val="0"/>
          <w:bCs/>
          <w:sz w:val="32"/>
          <w:szCs w:val="32"/>
        </w:rPr>
        <w:t>公司愿景与社会责任定位</w:t>
      </w:r>
      <w:bookmarkEnd w:id="6"/>
      <w:bookmarkEnd w:id="7"/>
      <w:bookmarkEnd w:id="8"/>
      <w:bookmarkEnd w:id="9"/>
      <w:bookmarkEnd w:id="10"/>
      <w:bookmarkEnd w:id="11"/>
      <w:bookmarkEnd w:id="12"/>
      <w:bookmarkEnd w:id="13"/>
      <w:bookmarkEnd w:id="14"/>
      <w:bookmarkEnd w:id="15"/>
    </w:p>
    <w:p>
      <w:pPr>
        <w:numPr>
          <w:ilvl w:val="255"/>
          <w:numId w:val="0"/>
        </w:numPr>
        <w:spacing w:line="580" w:lineRule="exact"/>
        <w:ind w:left="0" w:firstLine="640" w:firstLineChars="200"/>
        <w:jc w:val="left"/>
        <w:outlineLvl w:val="1"/>
        <w:rPr>
          <w:rFonts w:ascii="楷体" w:hAnsi="楷体" w:eastAsia="楷体" w:cs="楷体"/>
          <w:sz w:val="32"/>
          <w:szCs w:val="32"/>
        </w:rPr>
      </w:pPr>
      <w:bookmarkStart w:id="16" w:name="_Toc27992"/>
      <w:bookmarkStart w:id="17" w:name="_Toc10263"/>
      <w:bookmarkStart w:id="18" w:name="_Toc8457"/>
      <w:bookmarkStart w:id="19" w:name="_Toc5938"/>
      <w:bookmarkStart w:id="20" w:name="_Toc19193"/>
      <w:bookmarkStart w:id="21" w:name="_Toc13485"/>
      <w:bookmarkStart w:id="22" w:name="_Toc8225"/>
      <w:bookmarkStart w:id="23" w:name="_Toc275"/>
      <w:bookmarkStart w:id="24" w:name="_Toc3749"/>
      <w:bookmarkStart w:id="25" w:name="_Toc26738"/>
      <w:r>
        <w:rPr>
          <w:rFonts w:hint="eastAsia" w:ascii="楷体" w:hAnsi="楷体" w:eastAsia="楷体" w:cs="楷体"/>
          <w:sz w:val="32"/>
          <w:szCs w:val="32"/>
        </w:rPr>
        <w:t>（一）公司愿景和发展战略</w:t>
      </w:r>
      <w:bookmarkEnd w:id="16"/>
      <w:bookmarkEnd w:id="17"/>
      <w:bookmarkEnd w:id="18"/>
      <w:bookmarkEnd w:id="19"/>
      <w:bookmarkEnd w:id="20"/>
      <w:bookmarkEnd w:id="21"/>
      <w:bookmarkEnd w:id="22"/>
      <w:bookmarkEnd w:id="23"/>
      <w:bookmarkEnd w:id="24"/>
      <w:bookmarkEnd w:id="25"/>
    </w:p>
    <w:p>
      <w:pPr>
        <w:spacing w:line="580" w:lineRule="exact"/>
        <w:ind w:left="0" w:firstLine="681" w:firstLineChars="213"/>
        <w:jc w:val="left"/>
        <w:rPr>
          <w:rFonts w:ascii="仿宋" w:hAnsi="仿宋" w:eastAsia="仿宋"/>
          <w:sz w:val="32"/>
          <w:szCs w:val="32"/>
        </w:rPr>
      </w:pPr>
      <w:r>
        <w:rPr>
          <w:rFonts w:hint="eastAsia" w:ascii="仿宋" w:hAnsi="仿宋" w:eastAsia="仿宋"/>
          <w:sz w:val="32"/>
          <w:szCs w:val="32"/>
        </w:rPr>
        <w:t>天风期货股份有限公司（以下简称</w:t>
      </w:r>
      <w:r>
        <w:rPr>
          <w:rFonts w:hint="eastAsia" w:ascii="仿宋" w:hAnsi="仿宋" w:eastAsia="仿宋"/>
          <w:sz w:val="32"/>
          <w:szCs w:val="32"/>
          <w:lang w:eastAsia="zh-CN"/>
        </w:rPr>
        <w:t>“</w:t>
      </w:r>
      <w:r>
        <w:rPr>
          <w:rFonts w:hint="eastAsia" w:ascii="仿宋" w:hAnsi="仿宋" w:eastAsia="仿宋"/>
          <w:sz w:val="32"/>
          <w:szCs w:val="32"/>
        </w:rPr>
        <w:t>天风期货</w:t>
      </w:r>
      <w:r>
        <w:rPr>
          <w:rFonts w:hint="eastAsia" w:ascii="仿宋" w:hAnsi="仿宋" w:eastAsia="仿宋"/>
          <w:sz w:val="32"/>
          <w:szCs w:val="32"/>
          <w:lang w:eastAsia="zh-CN"/>
        </w:rPr>
        <w:t>”</w:t>
      </w:r>
      <w:r>
        <w:rPr>
          <w:rFonts w:hint="eastAsia" w:ascii="仿宋" w:hAnsi="仿宋" w:eastAsia="仿宋"/>
          <w:sz w:val="32"/>
          <w:szCs w:val="32"/>
          <w:lang w:val="en-US" w:eastAsia="zh-CN"/>
        </w:rPr>
        <w:t>或“公司”</w:t>
      </w:r>
      <w:r>
        <w:rPr>
          <w:rFonts w:hint="eastAsia" w:ascii="仿宋" w:hAnsi="仿宋" w:eastAsia="仿宋"/>
          <w:sz w:val="32"/>
          <w:szCs w:val="32"/>
        </w:rPr>
        <w:t>，股票代码</w:t>
      </w:r>
      <w:r>
        <w:rPr>
          <w:rFonts w:hint="eastAsia" w:ascii="仿宋" w:hAnsi="仿宋" w:eastAsia="仿宋"/>
          <w:sz w:val="32"/>
          <w:szCs w:val="32"/>
          <w:lang w:eastAsia="zh-CN"/>
        </w:rPr>
        <w:t>：</w:t>
      </w:r>
      <w:r>
        <w:rPr>
          <w:rFonts w:hint="eastAsia" w:ascii="仿宋" w:hAnsi="仿宋" w:eastAsia="仿宋"/>
          <w:sz w:val="32"/>
          <w:szCs w:val="32"/>
        </w:rPr>
        <w:t>834277）自成立以来一贯秉持规范经营、稳健发展的经营理念，倡导团结、学习、创新、务实的企业精神，以保障股东权益、保护员工利益、维护客户权益、履行社会责任为己任，以实际行动践行“助推实体经济发展，为社会创造价值”的公司使命，力争成为“一流的综合金融服务提供商”。</w:t>
      </w:r>
    </w:p>
    <w:p>
      <w:pPr>
        <w:spacing w:line="580" w:lineRule="exact"/>
        <w:ind w:left="0" w:firstLine="681" w:firstLineChars="213"/>
        <w:jc w:val="left"/>
        <w:rPr>
          <w:rFonts w:ascii="仿宋" w:hAnsi="仿宋" w:eastAsia="仿宋"/>
          <w:sz w:val="32"/>
          <w:szCs w:val="32"/>
        </w:rPr>
      </w:pPr>
      <w:r>
        <w:rPr>
          <w:rFonts w:hint="eastAsia" w:ascii="仿宋" w:hAnsi="仿宋" w:eastAsia="仿宋"/>
          <w:sz w:val="32"/>
          <w:szCs w:val="32"/>
        </w:rPr>
        <w:t>公司力争在三年内跻身中国期货行业头部公司。为此，公司将坚持以期货研究为核心，以综合金融服务特色，围绕客户的多样化需求展开创新，不断深化客户服务能力坚持商品期货与金融期货并重的发展思路，将增强核心竞争力作为发展方向，保持战略定力，持续进行成本投入，不断提升服务水平。</w:t>
      </w:r>
    </w:p>
    <w:p>
      <w:pPr>
        <w:spacing w:line="580" w:lineRule="exact"/>
        <w:ind w:firstLine="640" w:firstLineChars="200"/>
        <w:jc w:val="left"/>
        <w:outlineLvl w:val="1"/>
        <w:rPr>
          <w:rFonts w:ascii="楷体" w:hAnsi="楷体" w:eastAsia="楷体" w:cs="楷体"/>
          <w:sz w:val="32"/>
          <w:szCs w:val="32"/>
        </w:rPr>
      </w:pPr>
      <w:bookmarkStart w:id="26" w:name="_Toc17390"/>
      <w:bookmarkStart w:id="27" w:name="_Toc25943"/>
      <w:bookmarkStart w:id="28" w:name="_Toc8790"/>
      <w:bookmarkStart w:id="29" w:name="_Toc24759"/>
      <w:bookmarkStart w:id="30" w:name="_Toc6131"/>
      <w:bookmarkStart w:id="31" w:name="_Toc32146"/>
      <w:bookmarkStart w:id="32" w:name="_Toc15972"/>
      <w:bookmarkStart w:id="33" w:name="_Toc28004"/>
      <w:bookmarkStart w:id="34" w:name="_Toc32323"/>
      <w:bookmarkStart w:id="35" w:name="_Toc2240"/>
      <w:r>
        <w:rPr>
          <w:rFonts w:hint="eastAsia" w:ascii="楷体" w:hAnsi="楷体" w:eastAsia="楷体" w:cs="楷体"/>
          <w:sz w:val="32"/>
          <w:szCs w:val="32"/>
        </w:rPr>
        <w:t>（二）公司使命和价值观陈述</w:t>
      </w:r>
      <w:bookmarkEnd w:id="26"/>
      <w:bookmarkEnd w:id="27"/>
      <w:bookmarkEnd w:id="28"/>
      <w:bookmarkEnd w:id="29"/>
      <w:bookmarkEnd w:id="30"/>
      <w:bookmarkEnd w:id="31"/>
      <w:bookmarkEnd w:id="32"/>
      <w:bookmarkEnd w:id="33"/>
      <w:bookmarkEnd w:id="34"/>
      <w:bookmarkEnd w:id="35"/>
    </w:p>
    <w:p>
      <w:pPr>
        <w:spacing w:line="580" w:lineRule="exact"/>
        <w:ind w:firstLine="600"/>
        <w:jc w:val="left"/>
        <w:rPr>
          <w:rFonts w:ascii="仿宋" w:hAnsi="仿宋" w:eastAsia="仿宋"/>
          <w:sz w:val="32"/>
          <w:szCs w:val="32"/>
        </w:rPr>
      </w:pPr>
      <w:r>
        <w:rPr>
          <w:rFonts w:hint="eastAsia" w:ascii="仿宋" w:hAnsi="仿宋" w:eastAsia="仿宋" w:cs="Times New Roman"/>
          <w:sz w:val="32"/>
          <w:szCs w:val="32"/>
        </w:rPr>
        <w:t>公司坚持</w:t>
      </w:r>
      <w:r>
        <w:rPr>
          <w:rFonts w:hint="eastAsia" w:ascii="仿宋" w:hAnsi="仿宋" w:eastAsia="仿宋"/>
          <w:sz w:val="32"/>
          <w:szCs w:val="32"/>
        </w:rPr>
        <w:t>以传统业务为纲，</w:t>
      </w:r>
      <w:r>
        <w:rPr>
          <w:rFonts w:hint="eastAsia" w:ascii="仿宋" w:hAnsi="仿宋" w:eastAsia="仿宋"/>
          <w:sz w:val="32"/>
          <w:szCs w:val="32"/>
          <w:lang w:val="en-US" w:eastAsia="zh-CN"/>
        </w:rPr>
        <w:t>在</w:t>
      </w:r>
      <w:r>
        <w:rPr>
          <w:rFonts w:hint="eastAsia" w:ascii="仿宋" w:hAnsi="仿宋" w:eastAsia="仿宋" w:cs="Times New Roman"/>
          <w:sz w:val="32"/>
          <w:szCs w:val="32"/>
        </w:rPr>
        <w:t>做好期货、期权经纪业务</w:t>
      </w:r>
      <w:r>
        <w:rPr>
          <w:rFonts w:hint="eastAsia" w:ascii="仿宋" w:hAnsi="仿宋" w:eastAsia="仿宋" w:cs="Times New Roman"/>
          <w:sz w:val="32"/>
          <w:szCs w:val="32"/>
          <w:lang w:val="en-US" w:eastAsia="zh-CN"/>
        </w:rPr>
        <w:t>的</w:t>
      </w:r>
      <w:r>
        <w:rPr>
          <w:rFonts w:hint="eastAsia" w:ascii="仿宋" w:hAnsi="仿宋" w:eastAsia="仿宋"/>
          <w:sz w:val="32"/>
          <w:szCs w:val="32"/>
        </w:rPr>
        <w:t>同时，全面统筹</w:t>
      </w:r>
      <w:r>
        <w:rPr>
          <w:rFonts w:hint="eastAsia" w:ascii="仿宋" w:hAnsi="仿宋" w:eastAsia="仿宋" w:cs="Times New Roman"/>
          <w:sz w:val="32"/>
          <w:szCs w:val="32"/>
        </w:rPr>
        <w:t>投资咨询</w:t>
      </w:r>
      <w:r>
        <w:rPr>
          <w:rFonts w:hint="eastAsia" w:ascii="仿宋" w:hAnsi="仿宋" w:eastAsia="仿宋"/>
          <w:sz w:val="32"/>
          <w:szCs w:val="32"/>
        </w:rPr>
        <w:t>业务</w:t>
      </w:r>
      <w:r>
        <w:rPr>
          <w:rFonts w:hint="eastAsia" w:ascii="仿宋" w:hAnsi="仿宋" w:eastAsia="仿宋" w:cs="Times New Roman"/>
          <w:sz w:val="32"/>
          <w:szCs w:val="32"/>
        </w:rPr>
        <w:t>、资产管理</w:t>
      </w:r>
      <w:r>
        <w:rPr>
          <w:rFonts w:hint="eastAsia" w:ascii="仿宋" w:hAnsi="仿宋" w:eastAsia="仿宋"/>
          <w:sz w:val="32"/>
          <w:szCs w:val="32"/>
        </w:rPr>
        <w:t>业务</w:t>
      </w:r>
      <w:r>
        <w:rPr>
          <w:rFonts w:hint="eastAsia" w:ascii="仿宋" w:hAnsi="仿宋" w:eastAsia="仿宋" w:cs="Times New Roman"/>
          <w:sz w:val="32"/>
          <w:szCs w:val="32"/>
        </w:rPr>
        <w:t>、风险管理</w:t>
      </w:r>
      <w:r>
        <w:rPr>
          <w:rFonts w:hint="eastAsia" w:ascii="仿宋" w:hAnsi="仿宋" w:eastAsia="仿宋"/>
          <w:sz w:val="32"/>
          <w:szCs w:val="32"/>
        </w:rPr>
        <w:t>业务</w:t>
      </w:r>
      <w:r>
        <w:rPr>
          <w:rFonts w:hint="eastAsia" w:ascii="仿宋" w:hAnsi="仿宋" w:eastAsia="仿宋" w:cs="Times New Roman"/>
          <w:sz w:val="32"/>
          <w:szCs w:val="32"/>
        </w:rPr>
        <w:t>协同发展，</w:t>
      </w:r>
      <w:r>
        <w:rPr>
          <w:rFonts w:hint="eastAsia" w:ascii="仿宋" w:hAnsi="仿宋" w:eastAsia="仿宋"/>
          <w:sz w:val="32"/>
          <w:szCs w:val="32"/>
        </w:rPr>
        <w:t>稳步提升</w:t>
      </w:r>
      <w:r>
        <w:rPr>
          <w:rFonts w:hint="eastAsia" w:ascii="仿宋" w:hAnsi="仿宋" w:eastAsia="仿宋" w:cs="Times New Roman"/>
          <w:sz w:val="32"/>
          <w:szCs w:val="32"/>
        </w:rPr>
        <w:t>竞争实力；充分发挥期货</w:t>
      </w:r>
      <w:r>
        <w:rPr>
          <w:rFonts w:hint="eastAsia" w:ascii="仿宋" w:hAnsi="仿宋" w:eastAsia="仿宋"/>
          <w:sz w:val="32"/>
          <w:szCs w:val="32"/>
        </w:rPr>
        <w:t>公司</w:t>
      </w:r>
      <w:r>
        <w:rPr>
          <w:rFonts w:hint="eastAsia" w:ascii="仿宋" w:hAnsi="仿宋" w:eastAsia="仿宋" w:cs="Times New Roman"/>
          <w:sz w:val="32"/>
          <w:szCs w:val="32"/>
        </w:rPr>
        <w:t>服务实体经济功能。</w:t>
      </w:r>
    </w:p>
    <w:p>
      <w:pPr>
        <w:spacing w:line="580" w:lineRule="exact"/>
        <w:ind w:firstLine="640" w:firstLineChars="200"/>
        <w:jc w:val="left"/>
        <w:outlineLvl w:val="1"/>
        <w:rPr>
          <w:rFonts w:ascii="楷体" w:hAnsi="楷体" w:eastAsia="楷体" w:cs="楷体"/>
          <w:sz w:val="32"/>
          <w:szCs w:val="32"/>
        </w:rPr>
      </w:pPr>
      <w:bookmarkStart w:id="36" w:name="_Toc9750"/>
      <w:bookmarkStart w:id="37" w:name="_Toc4082"/>
      <w:bookmarkStart w:id="38" w:name="_Toc15081"/>
      <w:bookmarkStart w:id="39" w:name="_Toc12933"/>
      <w:bookmarkStart w:id="40" w:name="_Toc17220"/>
      <w:bookmarkStart w:id="41" w:name="_Toc32304"/>
      <w:bookmarkStart w:id="42" w:name="_Toc13418"/>
      <w:bookmarkStart w:id="43" w:name="_Toc5076"/>
      <w:bookmarkStart w:id="44" w:name="_Toc13956"/>
      <w:bookmarkStart w:id="45" w:name="_Toc29913"/>
      <w:r>
        <w:rPr>
          <w:rFonts w:hint="eastAsia" w:ascii="楷体" w:hAnsi="楷体" w:eastAsia="楷体" w:cs="楷体"/>
          <w:sz w:val="32"/>
          <w:szCs w:val="32"/>
        </w:rPr>
        <w:t>（三）公司对社会责任的认识与定位</w:t>
      </w:r>
      <w:bookmarkEnd w:id="36"/>
      <w:bookmarkEnd w:id="37"/>
      <w:bookmarkEnd w:id="38"/>
      <w:bookmarkEnd w:id="39"/>
      <w:bookmarkEnd w:id="40"/>
      <w:bookmarkEnd w:id="41"/>
      <w:bookmarkEnd w:id="42"/>
      <w:bookmarkEnd w:id="43"/>
      <w:bookmarkEnd w:id="44"/>
      <w:bookmarkEnd w:id="45"/>
    </w:p>
    <w:p>
      <w:pPr>
        <w:spacing w:line="580" w:lineRule="exact"/>
        <w:ind w:firstLine="600"/>
        <w:jc w:val="left"/>
        <w:rPr>
          <w:rFonts w:ascii="仿宋" w:hAnsi="仿宋" w:eastAsia="仿宋"/>
          <w:sz w:val="32"/>
          <w:szCs w:val="32"/>
        </w:rPr>
      </w:pPr>
      <w:r>
        <w:rPr>
          <w:rFonts w:hint="eastAsia" w:ascii="仿宋" w:hAnsi="仿宋" w:eastAsia="仿宋"/>
          <w:sz w:val="32"/>
          <w:szCs w:val="32"/>
        </w:rPr>
        <w:t>作为社会主义市场经济的一员，公司不是仅把经营利润作为唯一目标，更强调在经营过程中对社会、市场、股东、客户、员工的责任与关怀，</w:t>
      </w:r>
      <w:r>
        <w:rPr>
          <w:rFonts w:hint="eastAsia" w:ascii="仿宋" w:hAnsi="仿宋" w:eastAsia="仿宋"/>
          <w:sz w:val="32"/>
          <w:szCs w:val="32"/>
          <w:lang w:val="en-US" w:eastAsia="zh-CN"/>
        </w:rPr>
        <w:t>利用金融企业的专业优势，</w:t>
      </w:r>
      <w:r>
        <w:rPr>
          <w:rFonts w:hint="eastAsia" w:ascii="仿宋" w:hAnsi="仿宋" w:eastAsia="仿宋"/>
          <w:sz w:val="32"/>
          <w:szCs w:val="32"/>
        </w:rPr>
        <w:t>积极对社会、经济的发展作出自身的贡献。</w:t>
      </w:r>
    </w:p>
    <w:p>
      <w:pPr>
        <w:spacing w:line="580" w:lineRule="exact"/>
        <w:ind w:firstLine="600"/>
        <w:jc w:val="left"/>
        <w:rPr>
          <w:rFonts w:ascii="仿宋" w:hAnsi="仿宋" w:eastAsia="仿宋"/>
          <w:sz w:val="32"/>
          <w:szCs w:val="32"/>
        </w:rPr>
      </w:pPr>
      <w:r>
        <w:rPr>
          <w:rFonts w:hint="eastAsia" w:ascii="仿宋" w:hAnsi="仿宋" w:eastAsia="仿宋"/>
          <w:sz w:val="32"/>
          <w:szCs w:val="32"/>
        </w:rPr>
        <w:t>对社会的责任：积极服务实体经济</w:t>
      </w:r>
      <w:r>
        <w:rPr>
          <w:rFonts w:hint="eastAsia" w:ascii="仿宋" w:hAnsi="仿宋" w:eastAsia="仿宋"/>
          <w:sz w:val="32"/>
          <w:szCs w:val="32"/>
          <w:lang w:eastAsia="zh-CN"/>
        </w:rPr>
        <w:t>，</w:t>
      </w:r>
      <w:r>
        <w:rPr>
          <w:rFonts w:hint="eastAsia" w:ascii="仿宋" w:hAnsi="仿宋" w:eastAsia="仿宋"/>
          <w:sz w:val="32"/>
          <w:szCs w:val="32"/>
          <w:lang w:val="en-US" w:eastAsia="zh-CN"/>
        </w:rPr>
        <w:t>降低企业经营中的原材料价格风险、产成品价格风险，保障企业平稳运行</w:t>
      </w:r>
      <w:r>
        <w:rPr>
          <w:rFonts w:hint="eastAsia" w:ascii="仿宋" w:hAnsi="仿宋" w:eastAsia="仿宋"/>
          <w:sz w:val="32"/>
          <w:szCs w:val="32"/>
        </w:rPr>
        <w:t>。</w:t>
      </w:r>
    </w:p>
    <w:p>
      <w:pPr>
        <w:spacing w:line="580" w:lineRule="exact"/>
        <w:ind w:firstLine="600"/>
        <w:jc w:val="left"/>
        <w:rPr>
          <w:rFonts w:ascii="仿宋" w:hAnsi="仿宋" w:eastAsia="仿宋"/>
          <w:sz w:val="32"/>
          <w:szCs w:val="32"/>
        </w:rPr>
      </w:pPr>
      <w:r>
        <w:rPr>
          <w:rFonts w:hint="eastAsia" w:ascii="仿宋" w:hAnsi="仿宋" w:eastAsia="仿宋"/>
          <w:sz w:val="32"/>
          <w:szCs w:val="32"/>
        </w:rPr>
        <w:t>对市场的责任：充分</w:t>
      </w:r>
      <w:r>
        <w:rPr>
          <w:rFonts w:hint="eastAsia" w:ascii="仿宋" w:hAnsi="仿宋" w:eastAsia="仿宋"/>
          <w:sz w:val="32"/>
          <w:szCs w:val="32"/>
          <w:lang w:val="en-US" w:eastAsia="zh-CN"/>
        </w:rPr>
        <w:t>发挥</w:t>
      </w:r>
      <w:r>
        <w:rPr>
          <w:rFonts w:hint="eastAsia" w:ascii="仿宋" w:hAnsi="仿宋" w:eastAsia="仿宋"/>
          <w:sz w:val="32"/>
          <w:szCs w:val="32"/>
        </w:rPr>
        <w:t>中介职能，推动金融市场有序高质量</w:t>
      </w:r>
      <w:r>
        <w:rPr>
          <w:rFonts w:hint="eastAsia" w:ascii="仿宋" w:hAnsi="仿宋" w:eastAsia="仿宋"/>
          <w:sz w:val="32"/>
          <w:szCs w:val="32"/>
          <w:lang w:val="en-US" w:eastAsia="zh-CN"/>
        </w:rPr>
        <w:t>运行</w:t>
      </w:r>
      <w:r>
        <w:rPr>
          <w:rFonts w:hint="eastAsia" w:ascii="仿宋" w:hAnsi="仿宋" w:eastAsia="仿宋"/>
          <w:sz w:val="32"/>
          <w:szCs w:val="32"/>
        </w:rPr>
        <w:t>。</w:t>
      </w:r>
    </w:p>
    <w:p>
      <w:pPr>
        <w:spacing w:line="580" w:lineRule="exact"/>
        <w:ind w:firstLine="600"/>
        <w:jc w:val="left"/>
        <w:rPr>
          <w:rFonts w:ascii="仿宋" w:hAnsi="仿宋" w:eastAsia="仿宋"/>
          <w:sz w:val="32"/>
          <w:szCs w:val="32"/>
        </w:rPr>
      </w:pPr>
      <w:r>
        <w:rPr>
          <w:rFonts w:hint="eastAsia" w:ascii="仿宋" w:hAnsi="仿宋" w:eastAsia="仿宋"/>
          <w:sz w:val="32"/>
          <w:szCs w:val="32"/>
        </w:rPr>
        <w:t>对股东的责任：在合法合规的范围内，保持稳健高效的运行，</w:t>
      </w:r>
      <w:r>
        <w:rPr>
          <w:rFonts w:hint="eastAsia" w:ascii="仿宋" w:hAnsi="仿宋" w:eastAsia="仿宋"/>
          <w:sz w:val="32"/>
          <w:szCs w:val="32"/>
          <w:lang w:val="en-US" w:eastAsia="zh-CN"/>
        </w:rPr>
        <w:t>从长期来看，最大化股东投资收益</w:t>
      </w:r>
      <w:r>
        <w:rPr>
          <w:rFonts w:hint="eastAsia" w:ascii="仿宋" w:hAnsi="仿宋" w:eastAsia="仿宋"/>
          <w:sz w:val="32"/>
          <w:szCs w:val="32"/>
        </w:rPr>
        <w:t>。</w:t>
      </w:r>
    </w:p>
    <w:p>
      <w:pPr>
        <w:spacing w:line="580" w:lineRule="exact"/>
        <w:ind w:firstLine="600"/>
        <w:jc w:val="left"/>
        <w:rPr>
          <w:rFonts w:ascii="仿宋" w:hAnsi="仿宋" w:eastAsia="仿宋"/>
          <w:sz w:val="32"/>
          <w:szCs w:val="32"/>
        </w:rPr>
      </w:pPr>
      <w:r>
        <w:rPr>
          <w:rFonts w:hint="eastAsia" w:ascii="仿宋" w:hAnsi="仿宋" w:eastAsia="仿宋"/>
          <w:sz w:val="32"/>
          <w:szCs w:val="32"/>
        </w:rPr>
        <w:t>对客户的责任：保护投资者的合法权益，积极做好投资者教育工作，为客户提供</w:t>
      </w:r>
      <w:r>
        <w:rPr>
          <w:rFonts w:hint="eastAsia" w:ascii="仿宋" w:hAnsi="仿宋" w:eastAsia="仿宋"/>
          <w:sz w:val="32"/>
          <w:szCs w:val="32"/>
          <w:lang w:val="en-US" w:eastAsia="zh-CN"/>
        </w:rPr>
        <w:t>便捷的交易</w:t>
      </w:r>
      <w:r>
        <w:rPr>
          <w:rFonts w:hint="eastAsia" w:ascii="仿宋" w:hAnsi="仿宋" w:eastAsia="仿宋"/>
          <w:sz w:val="32"/>
          <w:szCs w:val="32"/>
        </w:rPr>
        <w:t>服务与优质</w:t>
      </w:r>
      <w:r>
        <w:rPr>
          <w:rFonts w:hint="eastAsia" w:ascii="仿宋" w:hAnsi="仿宋" w:eastAsia="仿宋"/>
          <w:sz w:val="32"/>
          <w:szCs w:val="32"/>
          <w:lang w:val="en-US" w:eastAsia="zh-CN"/>
        </w:rPr>
        <w:t>的投顾服务，帮助投资者盈利</w:t>
      </w:r>
      <w:r>
        <w:rPr>
          <w:rFonts w:hint="eastAsia" w:ascii="仿宋" w:hAnsi="仿宋" w:eastAsia="仿宋"/>
          <w:sz w:val="32"/>
          <w:szCs w:val="32"/>
        </w:rPr>
        <w:t>。</w:t>
      </w:r>
    </w:p>
    <w:p>
      <w:pPr>
        <w:spacing w:line="580" w:lineRule="exact"/>
        <w:ind w:firstLine="600"/>
        <w:jc w:val="left"/>
        <w:rPr>
          <w:rFonts w:ascii="仿宋" w:hAnsi="仿宋" w:eastAsia="仿宋"/>
          <w:sz w:val="32"/>
          <w:szCs w:val="32"/>
        </w:rPr>
      </w:pPr>
      <w:r>
        <w:rPr>
          <w:rFonts w:hint="eastAsia" w:ascii="仿宋" w:hAnsi="仿宋" w:eastAsia="仿宋"/>
          <w:sz w:val="32"/>
          <w:szCs w:val="32"/>
        </w:rPr>
        <w:t>对员工的责任</w:t>
      </w:r>
      <w:r>
        <w:rPr>
          <w:rFonts w:hint="eastAsia" w:ascii="仿宋" w:hAnsi="仿宋" w:eastAsia="仿宋"/>
          <w:sz w:val="32"/>
          <w:szCs w:val="32"/>
          <w:lang w:eastAsia="zh-CN"/>
        </w:rPr>
        <w:t>：</w:t>
      </w:r>
      <w:r>
        <w:rPr>
          <w:rFonts w:hint="eastAsia" w:ascii="仿宋" w:hAnsi="仿宋" w:eastAsia="仿宋"/>
          <w:sz w:val="32"/>
          <w:szCs w:val="32"/>
          <w:lang w:val="en-US" w:eastAsia="zh-CN"/>
        </w:rPr>
        <w:t>努力打造自身平台价值</w:t>
      </w:r>
      <w:r>
        <w:rPr>
          <w:rFonts w:hint="eastAsia" w:ascii="仿宋" w:hAnsi="仿宋" w:eastAsia="仿宋"/>
          <w:sz w:val="32"/>
          <w:szCs w:val="32"/>
        </w:rPr>
        <w:t>，</w:t>
      </w:r>
      <w:r>
        <w:rPr>
          <w:rFonts w:hint="eastAsia" w:ascii="仿宋" w:hAnsi="仿宋" w:eastAsia="仿宋"/>
          <w:sz w:val="32"/>
          <w:szCs w:val="32"/>
          <w:lang w:val="en-US" w:eastAsia="zh-CN"/>
        </w:rPr>
        <w:t>充分发挥员工潜能，激发创造力，使员工与公司共同成长。</w:t>
      </w:r>
    </w:p>
    <w:p>
      <w:pPr>
        <w:spacing w:line="580" w:lineRule="exact"/>
        <w:ind w:firstLine="640" w:firstLineChars="200"/>
        <w:jc w:val="left"/>
        <w:outlineLvl w:val="0"/>
        <w:rPr>
          <w:rFonts w:ascii="黑体" w:hAnsi="黑体" w:eastAsia="黑体" w:cs="黑体"/>
          <w:b w:val="0"/>
          <w:bCs/>
          <w:sz w:val="32"/>
          <w:szCs w:val="32"/>
        </w:rPr>
      </w:pPr>
      <w:bookmarkStart w:id="46" w:name="_Toc6046"/>
      <w:bookmarkStart w:id="47" w:name="_Toc17462"/>
      <w:bookmarkStart w:id="48" w:name="_Toc16461"/>
      <w:bookmarkStart w:id="49" w:name="_Toc19213"/>
      <w:bookmarkStart w:id="50" w:name="_Toc19127"/>
      <w:bookmarkStart w:id="51" w:name="_Toc28464"/>
      <w:bookmarkStart w:id="52" w:name="_Toc7276"/>
      <w:bookmarkStart w:id="53" w:name="_Toc2693"/>
      <w:bookmarkStart w:id="54" w:name="_Toc8515"/>
      <w:bookmarkStart w:id="55" w:name="_Toc9279"/>
      <w:r>
        <w:rPr>
          <w:rFonts w:hint="eastAsia" w:ascii="黑体" w:hAnsi="黑体" w:eastAsia="黑体" w:cs="黑体"/>
          <w:bCs/>
          <w:sz w:val="32"/>
          <w:szCs w:val="32"/>
        </w:rPr>
        <w:t>二、</w:t>
      </w:r>
      <w:r>
        <w:rPr>
          <w:rFonts w:hint="eastAsia" w:ascii="黑体" w:hAnsi="黑体" w:eastAsia="黑体" w:cs="黑体"/>
          <w:b w:val="0"/>
          <w:bCs/>
          <w:sz w:val="32"/>
          <w:szCs w:val="32"/>
        </w:rPr>
        <w:t>公司概况</w:t>
      </w:r>
      <w:bookmarkEnd w:id="46"/>
      <w:bookmarkEnd w:id="47"/>
      <w:bookmarkEnd w:id="48"/>
      <w:bookmarkEnd w:id="49"/>
      <w:bookmarkEnd w:id="50"/>
      <w:bookmarkEnd w:id="51"/>
      <w:bookmarkEnd w:id="52"/>
      <w:bookmarkEnd w:id="53"/>
      <w:bookmarkEnd w:id="54"/>
      <w:bookmarkEnd w:id="55"/>
    </w:p>
    <w:p>
      <w:pPr>
        <w:spacing w:line="580" w:lineRule="exact"/>
        <w:ind w:firstLine="640" w:firstLineChars="200"/>
        <w:jc w:val="left"/>
        <w:outlineLvl w:val="1"/>
        <w:rPr>
          <w:rFonts w:ascii="楷体" w:hAnsi="楷体" w:eastAsia="楷体" w:cs="楷体"/>
          <w:sz w:val="32"/>
          <w:szCs w:val="32"/>
        </w:rPr>
      </w:pPr>
      <w:bookmarkStart w:id="56" w:name="_Toc52"/>
      <w:bookmarkStart w:id="57" w:name="_Toc5108"/>
      <w:bookmarkStart w:id="58" w:name="_Toc25560"/>
      <w:bookmarkStart w:id="59" w:name="_Toc2767"/>
      <w:bookmarkStart w:id="60" w:name="_Toc11956"/>
      <w:bookmarkStart w:id="61" w:name="_Toc21138"/>
      <w:bookmarkStart w:id="62" w:name="_Toc7326"/>
      <w:bookmarkStart w:id="63" w:name="_Toc25744"/>
      <w:bookmarkStart w:id="64" w:name="_Toc9145"/>
      <w:r>
        <w:rPr>
          <w:rFonts w:hint="eastAsia" w:ascii="楷体" w:hAnsi="楷体" w:eastAsia="楷体" w:cs="楷体"/>
          <w:sz w:val="32"/>
          <w:szCs w:val="32"/>
        </w:rPr>
        <w:t>（一）公司概况</w:t>
      </w:r>
      <w:bookmarkEnd w:id="56"/>
      <w:bookmarkEnd w:id="57"/>
      <w:bookmarkEnd w:id="58"/>
      <w:bookmarkEnd w:id="59"/>
      <w:bookmarkEnd w:id="60"/>
      <w:bookmarkEnd w:id="61"/>
      <w:bookmarkEnd w:id="62"/>
      <w:bookmarkEnd w:id="63"/>
      <w:bookmarkEnd w:id="64"/>
    </w:p>
    <w:p>
      <w:pPr>
        <w:spacing w:line="580" w:lineRule="exact"/>
        <w:ind w:firstLine="600"/>
        <w:jc w:val="left"/>
        <w:rPr>
          <w:rFonts w:ascii="仿宋" w:hAnsi="仿宋" w:eastAsia="仿宋"/>
          <w:sz w:val="32"/>
          <w:szCs w:val="32"/>
        </w:rPr>
      </w:pPr>
      <w:r>
        <w:rPr>
          <w:rFonts w:hint="eastAsia" w:ascii="仿宋" w:hAnsi="仿宋" w:eastAsia="仿宋"/>
          <w:sz w:val="32"/>
          <w:szCs w:val="32"/>
        </w:rPr>
        <w:t>天风期货成立于1996年3月，注册资本31440万元，是经中国证监会批准，国家工商行政管理总局核准的期货公司。天风期货是期货及衍生品领域服务客户的重要金融机构，也是中国期货市场创新发展的见证者，参与者和引领者。拥有国内各期货交易所会员资格和交易结算席位，是中国期货业协会会员单位，大连证券期货业协会理事、副会长单位。为客户提供专业的商品期货经纪、商品期货经纪、期货投资者咨询、资产管理、风险管理等期货及衍生品综合交易服务。公司设有资产管理子公司（深圳天风天成资产管理有限公司）与风险管理子公司（天示（上海）企业管理有限公司）两家子公司，以及9家分支机构遍布国内主要城市。</w:t>
      </w:r>
    </w:p>
    <w:p>
      <w:pPr>
        <w:spacing w:line="580" w:lineRule="exact"/>
        <w:ind w:firstLine="600"/>
        <w:jc w:val="left"/>
        <w:rPr>
          <w:rFonts w:ascii="仿宋" w:hAnsi="仿宋" w:eastAsia="仿宋"/>
          <w:sz w:val="32"/>
          <w:szCs w:val="32"/>
        </w:rPr>
      </w:pPr>
      <w:r>
        <w:rPr>
          <w:rFonts w:hint="eastAsia" w:ascii="仿宋" w:hAnsi="仿宋" w:eastAsia="仿宋"/>
          <w:sz w:val="32"/>
          <w:szCs w:val="32"/>
        </w:rPr>
        <w:t>天风期货经过二十余年的发展，培养和吸引了一批具有高素质、精专业的管理、研发、营销等精英人才，公司凭借自身庞大的营销网络及各种媒介，结合股东单位（天风证券股份有限公司）的优势资源和营业网点，形成遍及全国的网络布局。</w:t>
      </w:r>
    </w:p>
    <w:p>
      <w:pPr>
        <w:spacing w:line="580" w:lineRule="exact"/>
        <w:ind w:firstLine="600"/>
        <w:jc w:val="left"/>
        <w:rPr>
          <w:rFonts w:ascii="仿宋" w:hAnsi="仿宋" w:eastAsia="仿宋"/>
          <w:sz w:val="32"/>
          <w:szCs w:val="32"/>
        </w:rPr>
      </w:pPr>
      <w:r>
        <w:rPr>
          <w:rFonts w:hint="eastAsia" w:ascii="仿宋" w:hAnsi="仿宋" w:eastAsia="仿宋"/>
          <w:sz w:val="32"/>
          <w:szCs w:val="32"/>
        </w:rPr>
        <w:t>多年来，天风期货始终保持稳健、高效的发展势头与良好的市场信誉和形象，持续不断的为投资者提供一系列的增值服务，提高企业核心竞争力，塑造企业品牌。</w:t>
      </w:r>
    </w:p>
    <w:p>
      <w:pPr>
        <w:spacing w:line="580" w:lineRule="exact"/>
        <w:ind w:firstLine="640" w:firstLineChars="200"/>
        <w:jc w:val="left"/>
        <w:outlineLvl w:val="1"/>
        <w:rPr>
          <w:rFonts w:ascii="楷体" w:hAnsi="楷体" w:eastAsia="楷体" w:cs="楷体"/>
          <w:sz w:val="32"/>
          <w:szCs w:val="32"/>
        </w:rPr>
      </w:pPr>
      <w:bookmarkStart w:id="65" w:name="_Toc19132"/>
      <w:bookmarkStart w:id="66" w:name="_Toc22021"/>
      <w:bookmarkStart w:id="67" w:name="_Toc26674"/>
      <w:bookmarkStart w:id="68" w:name="_Toc2096"/>
      <w:bookmarkStart w:id="69" w:name="_Toc6560"/>
      <w:bookmarkStart w:id="70" w:name="_Toc20259"/>
      <w:bookmarkStart w:id="71" w:name="_Toc12895"/>
      <w:bookmarkStart w:id="72" w:name="_Toc2962"/>
      <w:bookmarkStart w:id="73" w:name="_Toc22113"/>
      <w:r>
        <w:rPr>
          <w:rFonts w:hint="eastAsia" w:ascii="楷体" w:hAnsi="楷体" w:eastAsia="楷体" w:cs="楷体"/>
          <w:sz w:val="32"/>
          <w:szCs w:val="32"/>
        </w:rPr>
        <w:t>（二）公司大事记</w:t>
      </w:r>
      <w:bookmarkEnd w:id="65"/>
      <w:bookmarkEnd w:id="66"/>
      <w:bookmarkEnd w:id="67"/>
      <w:bookmarkEnd w:id="68"/>
      <w:bookmarkEnd w:id="69"/>
      <w:bookmarkEnd w:id="70"/>
      <w:bookmarkEnd w:id="71"/>
      <w:bookmarkEnd w:id="72"/>
      <w:bookmarkEnd w:id="73"/>
    </w:p>
    <w:p>
      <w:pPr>
        <w:spacing w:line="580" w:lineRule="exact"/>
        <w:ind w:firstLine="600"/>
        <w:jc w:val="left"/>
        <w:outlineLvl w:val="2"/>
        <w:rPr>
          <w:rFonts w:ascii="仿宋" w:hAnsi="仿宋" w:eastAsia="仿宋"/>
          <w:sz w:val="32"/>
          <w:szCs w:val="32"/>
        </w:rPr>
      </w:pPr>
      <w:r>
        <w:rPr>
          <w:rFonts w:hint="eastAsia" w:ascii="仿宋" w:hAnsi="仿宋" w:eastAsia="仿宋"/>
          <w:sz w:val="32"/>
          <w:szCs w:val="32"/>
        </w:rPr>
        <w:t>1、在经纪业务发展方面，天风期货2020年实现营业收入30,759万元，其中期货经纪业务实现营业收入11,686万元，同比增长51%，实现成交量5,216万手，与上年同比上涨91%，期货市场同比增长55.29%，实现成交额40,257亿元，与上年同比上涨21%，期货市场同比上涨50.56%，公司传统业务保持稳健增长。</w:t>
      </w:r>
    </w:p>
    <w:p>
      <w:pPr>
        <w:spacing w:line="580" w:lineRule="exact"/>
        <w:ind w:firstLine="600"/>
        <w:jc w:val="left"/>
        <w:outlineLvl w:val="2"/>
        <w:rPr>
          <w:rFonts w:ascii="仿宋" w:hAnsi="仿宋" w:eastAsia="仿宋"/>
          <w:sz w:val="32"/>
          <w:szCs w:val="32"/>
        </w:rPr>
      </w:pPr>
      <w:r>
        <w:rPr>
          <w:rFonts w:hint="eastAsia" w:ascii="仿宋" w:hAnsi="仿宋" w:eastAsia="仿宋"/>
          <w:sz w:val="32"/>
          <w:szCs w:val="32"/>
        </w:rPr>
        <w:t>2、在研究业务方面，天风期货坚持以研究为发展核心，2020年公司研究业务屡获市场认可，市场影响力与口碑得到进一步的提升，天风期货荣获万得2020年度第一届Wind金牌期货研究奖、商品期货研究第八名，连续多月荣获专业期货媒体和讯网评选的期货公司微信订阅号运营榜单月度第一名奖项。</w:t>
      </w:r>
    </w:p>
    <w:p>
      <w:pPr>
        <w:spacing w:line="580" w:lineRule="exact"/>
        <w:ind w:firstLine="600"/>
        <w:jc w:val="left"/>
        <w:outlineLvl w:val="2"/>
        <w:rPr>
          <w:rFonts w:ascii="仿宋" w:hAnsi="仿宋" w:eastAsia="仿宋"/>
          <w:sz w:val="32"/>
          <w:szCs w:val="32"/>
        </w:rPr>
      </w:pPr>
      <w:r>
        <w:rPr>
          <w:rFonts w:hint="eastAsia" w:ascii="仿宋" w:hAnsi="仿宋" w:eastAsia="仿宋"/>
          <w:sz w:val="32"/>
          <w:szCs w:val="32"/>
        </w:rPr>
        <w:t>3、在品牌形象方面，公司荣获各交易所多个奖项，品牌形象持续提升。报告期内，天风期货荣获大连商品交易所2020年度优秀会员、中国金融期货交易所2020年优秀会员金奖、郑州商品交易所2020年度市场成长优秀会员、2020年度短纤品种服务优秀会员2020年度短纤品种服务优秀营业部。</w:t>
      </w:r>
    </w:p>
    <w:p>
      <w:pPr>
        <w:spacing w:line="580" w:lineRule="exact"/>
        <w:ind w:firstLine="600"/>
        <w:jc w:val="left"/>
        <w:outlineLvl w:val="2"/>
        <w:rPr>
          <w:rFonts w:ascii="仿宋" w:hAnsi="仿宋" w:eastAsia="仿宋"/>
          <w:sz w:val="32"/>
          <w:szCs w:val="32"/>
        </w:rPr>
      </w:pPr>
      <w:r>
        <w:rPr>
          <w:rFonts w:hint="eastAsia" w:ascii="仿宋" w:hAnsi="仿宋" w:eastAsia="仿宋"/>
          <w:sz w:val="32"/>
          <w:szCs w:val="32"/>
        </w:rPr>
        <w:t>4、在践行社会责任方面，2020年公司从消费扶贫、捐赠扶贫、教育扶贫、保险加期货等方面持续开展“一对多”结对帮扶，助力脱贫事业。通过采购9个国家级贫困县的扶贫产品，推动消费扶贫；直接向贫困县捐赠总价值达314万元的药品，帮助解决贫困地区因病致贫的问题；利用期货市场为太湖县的企业景湖农业进行了三次鸡蛋保价业务，不仅保障了企业的收益，同时还宣讲了使用期货市场工具管理企业风险的知识；响应国家号召在多个贫困县开展共计4次保险加期货业务，发挥期货公司专长实现造血式扶贫，保障贫困农户的收益。</w:t>
      </w:r>
    </w:p>
    <w:p>
      <w:pPr>
        <w:spacing w:line="580" w:lineRule="exact"/>
        <w:ind w:firstLine="600"/>
        <w:jc w:val="left"/>
        <w:outlineLvl w:val="1"/>
        <w:rPr>
          <w:rFonts w:ascii="楷体" w:hAnsi="楷体" w:eastAsia="楷体" w:cs="楷体"/>
          <w:sz w:val="32"/>
          <w:szCs w:val="32"/>
        </w:rPr>
      </w:pPr>
      <w:bookmarkStart w:id="74" w:name="_Toc15121"/>
      <w:bookmarkStart w:id="75" w:name="_Toc12722"/>
      <w:bookmarkStart w:id="76" w:name="_Toc1953"/>
      <w:bookmarkStart w:id="77" w:name="_Toc9449"/>
      <w:bookmarkStart w:id="78" w:name="_Toc30177"/>
      <w:bookmarkStart w:id="79" w:name="_Toc15583"/>
      <w:bookmarkStart w:id="80" w:name="_Toc32252"/>
      <w:bookmarkStart w:id="81" w:name="_Toc27108"/>
      <w:bookmarkStart w:id="82" w:name="_Toc22179"/>
      <w:r>
        <w:rPr>
          <w:rFonts w:hint="eastAsia" w:ascii="楷体" w:hAnsi="楷体" w:eastAsia="楷体" w:cs="楷体"/>
          <w:sz w:val="32"/>
          <w:szCs w:val="32"/>
        </w:rPr>
        <w:t>（三）公司利益相关者关系</w:t>
      </w:r>
      <w:bookmarkEnd w:id="74"/>
      <w:bookmarkEnd w:id="75"/>
      <w:bookmarkEnd w:id="76"/>
      <w:bookmarkEnd w:id="77"/>
      <w:bookmarkEnd w:id="78"/>
      <w:bookmarkEnd w:id="79"/>
      <w:bookmarkEnd w:id="80"/>
      <w:bookmarkEnd w:id="81"/>
      <w:bookmarkEnd w:id="82"/>
    </w:p>
    <w:p>
      <w:pPr>
        <w:spacing w:line="580" w:lineRule="exact"/>
        <w:ind w:firstLine="600"/>
        <w:jc w:val="left"/>
        <w:rPr>
          <w:rFonts w:ascii="仿宋" w:hAnsi="仿宋" w:eastAsia="仿宋"/>
          <w:sz w:val="32"/>
          <w:szCs w:val="32"/>
        </w:rPr>
      </w:pPr>
      <w:r>
        <w:rPr>
          <w:rFonts w:hint="eastAsia" w:ascii="仿宋" w:hAnsi="仿宋" w:eastAsia="仿宋"/>
          <w:sz w:val="32"/>
          <w:szCs w:val="32"/>
        </w:rPr>
        <w:t>天风期货充分</w:t>
      </w:r>
      <w:bookmarkStart w:id="83" w:name="_Hlk69737983"/>
      <w:r>
        <w:rPr>
          <w:rFonts w:hint="eastAsia" w:ascii="仿宋" w:hAnsi="仿宋" w:eastAsia="仿宋"/>
          <w:sz w:val="32"/>
          <w:szCs w:val="32"/>
        </w:rPr>
        <w:t>尊重和维护股</w:t>
      </w:r>
      <w:bookmarkEnd w:id="83"/>
      <w:r>
        <w:rPr>
          <w:rFonts w:hint="eastAsia" w:ascii="仿宋" w:hAnsi="仿宋" w:eastAsia="仿宋"/>
          <w:sz w:val="32"/>
          <w:szCs w:val="32"/>
        </w:rPr>
        <w:t>东、员工以及投资者等利益相关者的合法权益，通过完善法人治理结构，加强制度建设、规范化经营，最大限度地保障了各方的合法权益，推动了公司持续健康地发展。</w:t>
      </w:r>
    </w:p>
    <w:p>
      <w:pPr>
        <w:spacing w:line="580" w:lineRule="exact"/>
        <w:ind w:firstLine="600"/>
        <w:jc w:val="left"/>
        <w:outlineLvl w:val="2"/>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控股</w:t>
      </w:r>
      <w:r>
        <w:rPr>
          <w:rFonts w:hint="eastAsia" w:ascii="仿宋" w:hAnsi="仿宋" w:eastAsia="仿宋"/>
          <w:sz w:val="32"/>
          <w:szCs w:val="32"/>
        </w:rPr>
        <w:t>股东</w:t>
      </w:r>
    </w:p>
    <w:p>
      <w:pPr>
        <w:spacing w:line="580" w:lineRule="exact"/>
        <w:ind w:firstLine="600"/>
        <w:jc w:val="left"/>
        <w:rPr>
          <w:rFonts w:ascii="仿宋" w:hAnsi="仿宋" w:eastAsia="仿宋"/>
          <w:sz w:val="32"/>
          <w:szCs w:val="32"/>
        </w:rPr>
      </w:pPr>
      <w:r>
        <w:rPr>
          <w:rFonts w:hint="eastAsia" w:ascii="仿宋" w:hAnsi="仿宋" w:eastAsia="仿宋"/>
          <w:sz w:val="32"/>
          <w:szCs w:val="32"/>
        </w:rPr>
        <w:t>天风证券股份有限公司（以下简称</w:t>
      </w:r>
      <w:r>
        <w:rPr>
          <w:rFonts w:hint="eastAsia" w:ascii="仿宋" w:hAnsi="仿宋" w:eastAsia="仿宋"/>
          <w:sz w:val="32"/>
          <w:szCs w:val="32"/>
          <w:lang w:eastAsia="zh-CN"/>
        </w:rPr>
        <w:t>“</w:t>
      </w:r>
      <w:r>
        <w:rPr>
          <w:rFonts w:hint="eastAsia" w:ascii="仿宋" w:hAnsi="仿宋" w:eastAsia="仿宋"/>
          <w:sz w:val="32"/>
          <w:szCs w:val="32"/>
        </w:rPr>
        <w:t>天风证券</w:t>
      </w:r>
      <w:r>
        <w:rPr>
          <w:rFonts w:hint="eastAsia" w:ascii="仿宋" w:hAnsi="仿宋" w:eastAsia="仿宋"/>
          <w:sz w:val="32"/>
          <w:szCs w:val="32"/>
          <w:lang w:eastAsia="zh-CN"/>
        </w:rPr>
        <w:t>”</w:t>
      </w:r>
      <w:r>
        <w:rPr>
          <w:rFonts w:hint="eastAsia" w:ascii="仿宋" w:hAnsi="仿宋" w:eastAsia="仿宋"/>
          <w:sz w:val="32"/>
          <w:szCs w:val="32"/>
        </w:rPr>
        <w:t>，股票代码：601162）是天风期货的控股母公司，也是天风期货重要的业务合作伙伴。天风证券成立于2000年，总部设于湖北省武汉市，是一家全球性全牌照综合金融证券服务商。根据监管政策，天风证券为天风期货提供IB业务支持。同时，天风期货积极践行母公司先进管理理念，从母公司的品牌效应中受益。</w:t>
      </w:r>
    </w:p>
    <w:p>
      <w:pPr>
        <w:spacing w:line="580" w:lineRule="exact"/>
        <w:ind w:firstLine="600"/>
        <w:jc w:val="left"/>
        <w:outlineLvl w:val="2"/>
        <w:rPr>
          <w:rFonts w:ascii="仿宋" w:hAnsi="仿宋" w:eastAsia="仿宋"/>
          <w:sz w:val="32"/>
          <w:szCs w:val="32"/>
        </w:rPr>
      </w:pPr>
      <w:r>
        <w:rPr>
          <w:rFonts w:hint="eastAsia" w:ascii="仿宋" w:hAnsi="仿宋" w:eastAsia="仿宋"/>
          <w:sz w:val="32"/>
          <w:szCs w:val="32"/>
        </w:rPr>
        <w:t>2、员工</w:t>
      </w:r>
    </w:p>
    <w:p>
      <w:pPr>
        <w:spacing w:line="580" w:lineRule="exact"/>
        <w:ind w:firstLine="600"/>
        <w:jc w:val="left"/>
        <w:rPr>
          <w:rFonts w:ascii="仿宋" w:hAnsi="仿宋" w:eastAsia="仿宋"/>
          <w:sz w:val="32"/>
          <w:szCs w:val="32"/>
        </w:rPr>
      </w:pPr>
      <w:r>
        <w:rPr>
          <w:rFonts w:hint="eastAsia" w:ascii="仿宋" w:hAnsi="仿宋" w:eastAsia="仿宋"/>
          <w:sz w:val="32"/>
          <w:szCs w:val="32"/>
        </w:rPr>
        <w:t>公司严格遵守《中华人民共和国劳动法》，依法保护员工的合法权益，建立起完善的薪酬体系与激励机制。同时积极为员工打造梯度职业培训体系与晋升空间。公司建立了完善的员工福利保障机制，为员工提供安全舒适的工作场所，未克扣或无故拖欠劳动者的工资，不干涉员工的信仰自由，不因民族、种族、国籍、宗教信仰、性别、年龄等对员工在聘用、报酬、培训机会、升迁、解职或退休等方面采取歧视行为。公司员工爱岗敬业,工作有热情、有激情，对公司文化的认同感与归属感强烈。员工队伍稳定，积极进取，推动公司各项事业稳步发展。</w:t>
      </w:r>
    </w:p>
    <w:p>
      <w:pPr>
        <w:spacing w:line="580" w:lineRule="exact"/>
        <w:ind w:firstLine="600"/>
        <w:jc w:val="left"/>
        <w:outlineLvl w:val="2"/>
        <w:rPr>
          <w:rFonts w:ascii="仿宋" w:hAnsi="仿宋" w:eastAsia="仿宋"/>
          <w:sz w:val="32"/>
          <w:szCs w:val="32"/>
        </w:rPr>
      </w:pPr>
      <w:r>
        <w:rPr>
          <w:rFonts w:hint="eastAsia" w:ascii="仿宋" w:hAnsi="仿宋" w:eastAsia="仿宋"/>
          <w:sz w:val="32"/>
          <w:szCs w:val="32"/>
        </w:rPr>
        <w:t>3、投资者关系</w:t>
      </w:r>
    </w:p>
    <w:p>
      <w:pPr>
        <w:spacing w:line="580" w:lineRule="exact"/>
        <w:ind w:firstLine="600"/>
        <w:jc w:val="left"/>
        <w:rPr>
          <w:rFonts w:ascii="仿宋" w:hAnsi="仿宋" w:eastAsia="仿宋"/>
          <w:sz w:val="32"/>
          <w:szCs w:val="32"/>
        </w:rPr>
      </w:pPr>
      <w:r>
        <w:rPr>
          <w:rFonts w:hint="eastAsia" w:ascii="仿宋" w:hAnsi="仿宋" w:eastAsia="仿宋"/>
          <w:sz w:val="32"/>
          <w:szCs w:val="32"/>
        </w:rPr>
        <w:t>公司建有完善的投资者关系管理机制。公司与投资者特别是中小投资者之间建立了良好沟通平台，完善了公司治理结构，切实保护了投资者的合法权益，形成公司与投资者之间长期、稳定、和谐的良性互动关系。</w:t>
      </w:r>
    </w:p>
    <w:p>
      <w:pPr>
        <w:spacing w:line="580" w:lineRule="exact"/>
        <w:ind w:firstLine="600"/>
        <w:jc w:val="left"/>
        <w:outlineLvl w:val="1"/>
        <w:rPr>
          <w:rFonts w:ascii="楷体" w:hAnsi="楷体" w:eastAsia="楷体" w:cs="楷体"/>
          <w:sz w:val="32"/>
          <w:szCs w:val="32"/>
        </w:rPr>
      </w:pPr>
      <w:bookmarkStart w:id="84" w:name="_Toc8545"/>
      <w:bookmarkStart w:id="85" w:name="_Toc28701"/>
      <w:bookmarkStart w:id="86" w:name="_Toc3153"/>
      <w:bookmarkStart w:id="87" w:name="_Toc13999"/>
      <w:bookmarkStart w:id="88" w:name="_Toc17861"/>
      <w:bookmarkStart w:id="89" w:name="_Toc1375"/>
      <w:bookmarkStart w:id="90" w:name="_Toc5330"/>
      <w:bookmarkStart w:id="91" w:name="_Toc23480"/>
      <w:bookmarkStart w:id="92" w:name="_Toc28503"/>
      <w:r>
        <w:rPr>
          <w:rFonts w:hint="eastAsia" w:ascii="楷体" w:hAnsi="楷体" w:eastAsia="楷体" w:cs="楷体"/>
          <w:sz w:val="32"/>
          <w:szCs w:val="32"/>
        </w:rPr>
        <w:t>（四）本报告内容的范围和概况</w:t>
      </w:r>
      <w:bookmarkEnd w:id="84"/>
      <w:bookmarkEnd w:id="85"/>
      <w:bookmarkEnd w:id="86"/>
      <w:bookmarkEnd w:id="87"/>
      <w:bookmarkEnd w:id="88"/>
      <w:bookmarkEnd w:id="89"/>
      <w:bookmarkEnd w:id="90"/>
      <w:bookmarkEnd w:id="91"/>
      <w:bookmarkEnd w:id="92"/>
    </w:p>
    <w:p>
      <w:pPr>
        <w:spacing w:line="580" w:lineRule="exact"/>
        <w:ind w:firstLine="600"/>
        <w:jc w:val="left"/>
        <w:rPr>
          <w:rFonts w:ascii="仿宋" w:hAnsi="仿宋" w:eastAsia="仿宋"/>
          <w:sz w:val="32"/>
          <w:szCs w:val="32"/>
        </w:rPr>
      </w:pPr>
      <w:r>
        <w:rPr>
          <w:rFonts w:hint="eastAsia" w:ascii="仿宋" w:hAnsi="仿宋" w:eastAsia="仿宋"/>
          <w:sz w:val="32"/>
          <w:szCs w:val="32"/>
        </w:rPr>
        <w:t>本报告以天风期货2</w:t>
      </w:r>
      <w:r>
        <w:rPr>
          <w:rFonts w:ascii="仿宋" w:hAnsi="仿宋" w:eastAsia="仿宋"/>
          <w:sz w:val="32"/>
          <w:szCs w:val="32"/>
        </w:rPr>
        <w:t>020</w:t>
      </w:r>
      <w:r>
        <w:rPr>
          <w:rFonts w:hint="eastAsia" w:ascii="仿宋" w:hAnsi="仿宋" w:eastAsia="仿宋"/>
          <w:sz w:val="32"/>
          <w:szCs w:val="32"/>
        </w:rPr>
        <w:t>年度社会及环境责任工作为重点，详尽地介绍了公司履行社会责任和环境责任的行动。</w:t>
      </w:r>
    </w:p>
    <w:p>
      <w:pPr>
        <w:pStyle w:val="8"/>
        <w:spacing w:line="580" w:lineRule="exact"/>
        <w:ind w:firstLine="640" w:firstLineChars="200"/>
        <w:rPr>
          <w:rFonts w:ascii="仿宋" w:hAnsi="仿宋" w:eastAsia="仿宋"/>
          <w:sz w:val="32"/>
          <w:szCs w:val="32"/>
        </w:rPr>
      </w:pPr>
      <w:r>
        <w:rPr>
          <w:rFonts w:hint="eastAsia" w:ascii="仿宋" w:hAnsi="仿宋" w:eastAsia="仿宋" w:cs="Times New Roman"/>
          <w:kern w:val="2"/>
          <w:sz w:val="32"/>
          <w:szCs w:val="32"/>
        </w:rPr>
        <w:t>本报告依据上海市期货同业公会发布的《上海期货公司社会责任报告编制框架指引》编制，本报告内容符合指引中的有关要求。</w:t>
      </w:r>
    </w:p>
    <w:p>
      <w:pPr>
        <w:spacing w:line="580" w:lineRule="exact"/>
        <w:ind w:firstLine="640" w:firstLineChars="200"/>
        <w:jc w:val="left"/>
        <w:outlineLvl w:val="0"/>
        <w:rPr>
          <w:rFonts w:ascii="黑体" w:hAnsi="黑体" w:eastAsia="黑体" w:cs="黑体"/>
          <w:b w:val="0"/>
          <w:bCs/>
          <w:sz w:val="32"/>
          <w:szCs w:val="32"/>
        </w:rPr>
      </w:pPr>
      <w:bookmarkStart w:id="93" w:name="_Toc9073"/>
      <w:bookmarkStart w:id="94" w:name="_Toc29525"/>
      <w:bookmarkStart w:id="95" w:name="_Toc18330"/>
      <w:bookmarkStart w:id="96" w:name="_Toc27874"/>
      <w:bookmarkStart w:id="97" w:name="_Toc20438"/>
      <w:bookmarkStart w:id="98" w:name="_Toc7518"/>
      <w:bookmarkStart w:id="99" w:name="_Toc12176"/>
      <w:bookmarkStart w:id="100" w:name="_Toc5439"/>
      <w:bookmarkStart w:id="101" w:name="_Toc9617"/>
      <w:bookmarkStart w:id="102" w:name="_Toc6921"/>
      <w:r>
        <w:rPr>
          <w:rFonts w:hint="eastAsia" w:ascii="黑体" w:hAnsi="黑体" w:eastAsia="黑体" w:cs="黑体"/>
          <w:bCs/>
          <w:sz w:val="32"/>
          <w:szCs w:val="32"/>
        </w:rPr>
        <w:t>三、</w:t>
      </w:r>
      <w:r>
        <w:rPr>
          <w:rFonts w:hint="eastAsia" w:ascii="黑体" w:hAnsi="黑体" w:eastAsia="黑体" w:cs="黑体"/>
          <w:b w:val="0"/>
          <w:bCs/>
          <w:sz w:val="32"/>
          <w:szCs w:val="32"/>
        </w:rPr>
        <w:t>公司治理结构与管理体制</w:t>
      </w:r>
      <w:bookmarkEnd w:id="93"/>
      <w:bookmarkEnd w:id="94"/>
      <w:bookmarkEnd w:id="95"/>
      <w:bookmarkEnd w:id="96"/>
      <w:bookmarkEnd w:id="97"/>
      <w:bookmarkEnd w:id="98"/>
      <w:bookmarkEnd w:id="99"/>
      <w:bookmarkEnd w:id="100"/>
      <w:bookmarkEnd w:id="101"/>
      <w:bookmarkEnd w:id="102"/>
    </w:p>
    <w:p>
      <w:pPr>
        <w:spacing w:line="580" w:lineRule="exact"/>
        <w:ind w:firstLine="600"/>
        <w:jc w:val="left"/>
        <w:outlineLvl w:val="1"/>
        <w:rPr>
          <w:rFonts w:ascii="楷体" w:hAnsi="楷体" w:eastAsia="楷体" w:cs="楷体"/>
          <w:sz w:val="32"/>
          <w:szCs w:val="32"/>
        </w:rPr>
      </w:pPr>
      <w:bookmarkStart w:id="103" w:name="_Toc6958"/>
      <w:bookmarkStart w:id="104" w:name="_Toc15544"/>
      <w:bookmarkStart w:id="105" w:name="_Toc32539"/>
      <w:bookmarkStart w:id="106" w:name="_Toc29865"/>
      <w:bookmarkStart w:id="107" w:name="_Toc20509"/>
      <w:bookmarkStart w:id="108" w:name="_Toc9308"/>
      <w:bookmarkStart w:id="109" w:name="_Toc19030"/>
      <w:bookmarkStart w:id="110" w:name="_Toc3417"/>
      <w:bookmarkStart w:id="111" w:name="_Toc23430"/>
      <w:r>
        <w:rPr>
          <w:rFonts w:hint="eastAsia" w:ascii="楷体" w:hAnsi="楷体" w:eastAsia="楷体" w:cs="楷体"/>
          <w:sz w:val="32"/>
          <w:szCs w:val="32"/>
        </w:rPr>
        <w:t>（一）股东责权</w:t>
      </w:r>
      <w:bookmarkEnd w:id="103"/>
      <w:bookmarkEnd w:id="104"/>
      <w:bookmarkEnd w:id="105"/>
      <w:bookmarkEnd w:id="106"/>
      <w:bookmarkEnd w:id="107"/>
      <w:bookmarkEnd w:id="108"/>
      <w:bookmarkEnd w:id="109"/>
      <w:bookmarkEnd w:id="110"/>
      <w:bookmarkEnd w:id="111"/>
    </w:p>
    <w:p>
      <w:pPr>
        <w:spacing w:line="580" w:lineRule="exact"/>
        <w:ind w:firstLine="600"/>
        <w:jc w:val="left"/>
        <w:rPr>
          <w:rFonts w:ascii="仿宋" w:hAnsi="仿宋" w:eastAsia="仿宋"/>
          <w:sz w:val="32"/>
          <w:szCs w:val="32"/>
          <w:highlight w:val="none"/>
        </w:rPr>
      </w:pPr>
      <w:r>
        <w:rPr>
          <w:rFonts w:hint="eastAsia" w:ascii="仿宋" w:hAnsi="仿宋" w:eastAsia="仿宋"/>
          <w:sz w:val="32"/>
          <w:szCs w:val="32"/>
          <w:highlight w:val="none"/>
        </w:rPr>
        <w:t>天风期货股份有限公司的法人治理架构符合《公司法》、《期货公司监督管理办法》的规定，以及中国证监会提出的合规要求。</w:t>
      </w:r>
    </w:p>
    <w:p>
      <w:pPr>
        <w:spacing w:line="580" w:lineRule="exact"/>
        <w:ind w:firstLine="0"/>
        <w:jc w:val="left"/>
        <w:rPr>
          <w:rFonts w:ascii="仿宋" w:hAnsi="仿宋" w:eastAsia="仿宋"/>
          <w:sz w:val="32"/>
          <w:szCs w:val="32"/>
          <w:highlight w:val="none"/>
        </w:rPr>
      </w:pPr>
      <w:r>
        <w:rPr>
          <w:rFonts w:hint="eastAsia" w:ascii="仿宋" w:hAnsi="仿宋" w:eastAsia="仿宋"/>
          <w:sz w:val="32"/>
          <w:szCs w:val="32"/>
          <w:highlight w:val="none"/>
        </w:rPr>
        <w:t>公司根据《中华人民共和国公司法》的要求制定了《天风期货股份有限公司章程》，切实维护股东的合法权益，并在此基础上制定了相关议事规则与规章制度，形成了完善有效的公司治理机制。</w:t>
      </w:r>
    </w:p>
    <w:p>
      <w:pPr>
        <w:spacing w:line="580" w:lineRule="exact"/>
        <w:ind w:firstLine="600"/>
        <w:jc w:val="left"/>
        <w:rPr>
          <w:rFonts w:ascii="仿宋" w:hAnsi="仿宋" w:eastAsia="仿宋"/>
          <w:sz w:val="32"/>
          <w:szCs w:val="32"/>
          <w:highlight w:val="none"/>
        </w:rPr>
      </w:pPr>
      <w:r>
        <w:rPr>
          <w:rFonts w:hint="eastAsia" w:ascii="仿宋" w:hAnsi="仿宋" w:eastAsia="仿宋"/>
          <w:sz w:val="32"/>
          <w:szCs w:val="32"/>
          <w:highlight w:val="none"/>
        </w:rPr>
        <w:t>根据公司章程，我公司设有股东大会，公司股东行使下列职权：</w:t>
      </w:r>
    </w:p>
    <w:p>
      <w:pPr>
        <w:spacing w:line="580" w:lineRule="exact"/>
        <w:ind w:firstLine="600"/>
        <w:jc w:val="left"/>
        <w:rPr>
          <w:rFonts w:ascii="仿宋" w:hAnsi="仿宋" w:eastAsia="仿宋"/>
          <w:sz w:val="32"/>
          <w:szCs w:val="32"/>
          <w:highlight w:val="none"/>
        </w:rPr>
      </w:pPr>
      <w:r>
        <w:rPr>
          <w:rFonts w:ascii="仿宋" w:hAnsi="仿宋" w:eastAsia="仿宋"/>
          <w:sz w:val="32"/>
          <w:szCs w:val="32"/>
          <w:highlight w:val="none"/>
        </w:rPr>
        <w:t>1</w:t>
      </w:r>
      <w:r>
        <w:rPr>
          <w:rFonts w:hint="eastAsia" w:ascii="仿宋" w:hAnsi="仿宋" w:eastAsia="仿宋"/>
          <w:sz w:val="32"/>
          <w:szCs w:val="32"/>
          <w:highlight w:val="none"/>
          <w:lang w:eastAsia="zh-CN"/>
        </w:rPr>
        <w:t>、</w:t>
      </w:r>
      <w:r>
        <w:rPr>
          <w:rFonts w:ascii="仿宋" w:hAnsi="仿宋" w:eastAsia="仿宋"/>
          <w:sz w:val="32"/>
          <w:szCs w:val="32"/>
          <w:highlight w:val="none"/>
        </w:rPr>
        <w:t>依照其所持有的股份份额获得股利和其他形式的利益分配；</w:t>
      </w:r>
    </w:p>
    <w:p>
      <w:pPr>
        <w:spacing w:line="580" w:lineRule="exact"/>
        <w:ind w:firstLine="600"/>
        <w:jc w:val="left"/>
        <w:rPr>
          <w:rFonts w:ascii="仿宋" w:hAnsi="仿宋" w:eastAsia="仿宋"/>
          <w:sz w:val="32"/>
          <w:szCs w:val="32"/>
          <w:highlight w:val="none"/>
        </w:rPr>
      </w:pPr>
      <w:r>
        <w:rPr>
          <w:rFonts w:ascii="仿宋" w:hAnsi="仿宋" w:eastAsia="仿宋"/>
          <w:sz w:val="32"/>
          <w:szCs w:val="32"/>
          <w:highlight w:val="none"/>
        </w:rPr>
        <w:t>2</w:t>
      </w:r>
      <w:r>
        <w:rPr>
          <w:rFonts w:hint="eastAsia" w:ascii="仿宋" w:hAnsi="仿宋" w:eastAsia="仿宋"/>
          <w:sz w:val="32"/>
          <w:szCs w:val="32"/>
          <w:highlight w:val="none"/>
          <w:lang w:eastAsia="zh-CN"/>
        </w:rPr>
        <w:t>、</w:t>
      </w:r>
      <w:r>
        <w:rPr>
          <w:rFonts w:ascii="仿宋" w:hAnsi="仿宋" w:eastAsia="仿宋"/>
          <w:sz w:val="32"/>
          <w:szCs w:val="32"/>
          <w:highlight w:val="none"/>
        </w:rPr>
        <w:t>依法请求、召集、主持、参加或者委派股东代理人参加股东大会，并行使相应的表决权；</w:t>
      </w:r>
    </w:p>
    <w:p>
      <w:pPr>
        <w:spacing w:line="580" w:lineRule="exact"/>
        <w:ind w:firstLine="600"/>
        <w:jc w:val="left"/>
        <w:rPr>
          <w:rFonts w:ascii="仿宋" w:hAnsi="仿宋" w:eastAsia="仿宋"/>
          <w:sz w:val="32"/>
          <w:szCs w:val="32"/>
          <w:highlight w:val="none"/>
        </w:rPr>
      </w:pPr>
      <w:r>
        <w:rPr>
          <w:rFonts w:ascii="仿宋" w:hAnsi="仿宋" w:eastAsia="仿宋"/>
          <w:sz w:val="32"/>
          <w:szCs w:val="32"/>
          <w:highlight w:val="none"/>
        </w:rPr>
        <w:t>3</w:t>
      </w:r>
      <w:r>
        <w:rPr>
          <w:rFonts w:hint="eastAsia" w:ascii="仿宋" w:hAnsi="仿宋" w:eastAsia="仿宋"/>
          <w:sz w:val="32"/>
          <w:szCs w:val="32"/>
          <w:highlight w:val="none"/>
          <w:lang w:eastAsia="zh-CN"/>
        </w:rPr>
        <w:t>、</w:t>
      </w:r>
      <w:r>
        <w:rPr>
          <w:rFonts w:ascii="仿宋" w:hAnsi="仿宋" w:eastAsia="仿宋"/>
          <w:sz w:val="32"/>
          <w:szCs w:val="32"/>
          <w:highlight w:val="none"/>
        </w:rPr>
        <w:t>对公司的经营进行监督，提出建议或者质询；</w:t>
      </w:r>
    </w:p>
    <w:p>
      <w:pPr>
        <w:spacing w:line="580" w:lineRule="exact"/>
        <w:ind w:firstLine="600"/>
        <w:jc w:val="left"/>
        <w:rPr>
          <w:rFonts w:ascii="仿宋" w:hAnsi="仿宋" w:eastAsia="仿宋"/>
          <w:sz w:val="32"/>
          <w:szCs w:val="32"/>
          <w:highlight w:val="none"/>
        </w:rPr>
      </w:pPr>
      <w:r>
        <w:rPr>
          <w:rFonts w:ascii="仿宋" w:hAnsi="仿宋" w:eastAsia="仿宋"/>
          <w:sz w:val="32"/>
          <w:szCs w:val="32"/>
          <w:highlight w:val="none"/>
        </w:rPr>
        <w:t>4</w:t>
      </w:r>
      <w:r>
        <w:rPr>
          <w:rFonts w:hint="eastAsia" w:ascii="仿宋" w:hAnsi="仿宋" w:eastAsia="仿宋"/>
          <w:sz w:val="32"/>
          <w:szCs w:val="32"/>
          <w:highlight w:val="none"/>
          <w:lang w:eastAsia="zh-CN"/>
        </w:rPr>
        <w:t>、</w:t>
      </w:r>
      <w:r>
        <w:rPr>
          <w:rFonts w:ascii="仿宋" w:hAnsi="仿宋" w:eastAsia="仿宋"/>
          <w:sz w:val="32"/>
          <w:szCs w:val="32"/>
          <w:highlight w:val="none"/>
        </w:rPr>
        <w:t>依照法律、行政法规及本章程的规定转让、赠与或质押其所持有的股份；</w:t>
      </w:r>
    </w:p>
    <w:p>
      <w:pPr>
        <w:spacing w:line="580" w:lineRule="exact"/>
        <w:ind w:firstLine="600"/>
        <w:jc w:val="left"/>
        <w:rPr>
          <w:rFonts w:ascii="仿宋" w:hAnsi="仿宋" w:eastAsia="仿宋"/>
          <w:sz w:val="32"/>
          <w:szCs w:val="32"/>
          <w:highlight w:val="none"/>
        </w:rPr>
      </w:pPr>
      <w:r>
        <w:rPr>
          <w:rFonts w:ascii="仿宋" w:hAnsi="仿宋" w:eastAsia="仿宋"/>
          <w:sz w:val="32"/>
          <w:szCs w:val="32"/>
          <w:highlight w:val="none"/>
        </w:rPr>
        <w:t>5</w:t>
      </w:r>
      <w:r>
        <w:rPr>
          <w:rFonts w:hint="eastAsia" w:ascii="仿宋" w:hAnsi="仿宋" w:eastAsia="仿宋"/>
          <w:sz w:val="32"/>
          <w:szCs w:val="32"/>
          <w:highlight w:val="none"/>
          <w:lang w:eastAsia="zh-CN"/>
        </w:rPr>
        <w:t>、</w:t>
      </w:r>
      <w:r>
        <w:rPr>
          <w:rFonts w:ascii="仿宋" w:hAnsi="仿宋" w:eastAsia="仿宋"/>
          <w:sz w:val="32"/>
          <w:szCs w:val="32"/>
          <w:highlight w:val="none"/>
        </w:rPr>
        <w:t>查阅本章程、股东名册、公司债券存根、股东大会会议记录、董事会会议决议、监事会会议决议、财务会计报告、年度报告、中期报告，但应支付合理的成本；</w:t>
      </w:r>
    </w:p>
    <w:p>
      <w:pPr>
        <w:spacing w:line="580" w:lineRule="exact"/>
        <w:ind w:firstLine="600"/>
        <w:jc w:val="left"/>
        <w:rPr>
          <w:rFonts w:ascii="仿宋" w:hAnsi="仿宋" w:eastAsia="仿宋"/>
          <w:sz w:val="32"/>
          <w:szCs w:val="32"/>
          <w:highlight w:val="none"/>
        </w:rPr>
      </w:pPr>
      <w:r>
        <w:rPr>
          <w:rFonts w:ascii="仿宋" w:hAnsi="仿宋" w:eastAsia="仿宋"/>
          <w:sz w:val="32"/>
          <w:szCs w:val="32"/>
          <w:highlight w:val="none"/>
        </w:rPr>
        <w:t>6</w:t>
      </w:r>
      <w:r>
        <w:rPr>
          <w:rFonts w:hint="eastAsia" w:ascii="仿宋" w:hAnsi="仿宋" w:eastAsia="仿宋"/>
          <w:sz w:val="32"/>
          <w:szCs w:val="32"/>
          <w:highlight w:val="none"/>
          <w:lang w:eastAsia="zh-CN"/>
        </w:rPr>
        <w:t>、</w:t>
      </w:r>
      <w:r>
        <w:rPr>
          <w:rFonts w:ascii="仿宋" w:hAnsi="仿宋" w:eastAsia="仿宋"/>
          <w:sz w:val="32"/>
          <w:szCs w:val="32"/>
          <w:highlight w:val="none"/>
        </w:rPr>
        <w:t>股东依法享有《期货公司监督管理办法》第三十八条所规定的重要事项知情权，本公司有下列情况之一的，应当立即书面通知全体股东或进行公告，并向住所地中国证监会派出机构报告：</w:t>
      </w:r>
    </w:p>
    <w:p>
      <w:pPr>
        <w:spacing w:line="580" w:lineRule="exact"/>
        <w:ind w:firstLine="600"/>
        <w:jc w:val="left"/>
        <w:rPr>
          <w:rFonts w:ascii="仿宋" w:hAnsi="仿宋" w:eastAsia="仿宋"/>
          <w:sz w:val="32"/>
          <w:szCs w:val="32"/>
          <w:highlight w:val="none"/>
        </w:rPr>
      </w:pPr>
      <w:r>
        <w:rPr>
          <w:rFonts w:ascii="仿宋" w:hAnsi="仿宋" w:eastAsia="仿宋"/>
          <w:sz w:val="32"/>
          <w:szCs w:val="32"/>
          <w:highlight w:val="none"/>
        </w:rPr>
        <w:t>6.1、公司或者其董事、监事、高级管理人员因涉嫌违法违规被有权机关立案调查或者采取强制措施；</w:t>
      </w:r>
    </w:p>
    <w:p>
      <w:pPr>
        <w:spacing w:line="580" w:lineRule="exact"/>
        <w:ind w:firstLine="600"/>
        <w:jc w:val="left"/>
        <w:rPr>
          <w:rFonts w:ascii="仿宋" w:hAnsi="仿宋" w:eastAsia="仿宋"/>
          <w:sz w:val="32"/>
          <w:szCs w:val="32"/>
          <w:highlight w:val="none"/>
        </w:rPr>
      </w:pPr>
      <w:r>
        <w:rPr>
          <w:rFonts w:ascii="仿宋" w:hAnsi="仿宋" w:eastAsia="仿宋"/>
          <w:sz w:val="32"/>
          <w:szCs w:val="32"/>
          <w:highlight w:val="none"/>
        </w:rPr>
        <w:t>6.2、公司或者其董事、监事、高级管理人员因违法违规行为受到行政处罚或者刑事处罚；</w:t>
      </w:r>
    </w:p>
    <w:p>
      <w:pPr>
        <w:spacing w:line="580" w:lineRule="exact"/>
        <w:ind w:firstLine="600"/>
        <w:jc w:val="left"/>
        <w:rPr>
          <w:rFonts w:ascii="仿宋" w:hAnsi="仿宋" w:eastAsia="仿宋"/>
          <w:sz w:val="32"/>
          <w:szCs w:val="32"/>
          <w:highlight w:val="none"/>
        </w:rPr>
      </w:pPr>
      <w:r>
        <w:rPr>
          <w:rFonts w:ascii="仿宋" w:hAnsi="仿宋" w:eastAsia="仿宋"/>
          <w:sz w:val="32"/>
          <w:szCs w:val="32"/>
          <w:highlight w:val="none"/>
        </w:rPr>
        <w:t>6.3、风险监管指标不符合规定标准；</w:t>
      </w:r>
    </w:p>
    <w:p>
      <w:pPr>
        <w:spacing w:line="580" w:lineRule="exact"/>
        <w:ind w:firstLine="600"/>
        <w:jc w:val="left"/>
        <w:rPr>
          <w:rFonts w:ascii="仿宋" w:hAnsi="仿宋" w:eastAsia="仿宋"/>
          <w:sz w:val="32"/>
          <w:szCs w:val="32"/>
          <w:highlight w:val="none"/>
        </w:rPr>
      </w:pPr>
      <w:r>
        <w:rPr>
          <w:rFonts w:ascii="仿宋" w:hAnsi="仿宋" w:eastAsia="仿宋"/>
          <w:sz w:val="32"/>
          <w:szCs w:val="32"/>
          <w:highlight w:val="none"/>
        </w:rPr>
        <w:t>6.4、客户发生重大透支、穿仓，可能影响期货公司持续经营；</w:t>
      </w:r>
    </w:p>
    <w:p>
      <w:pPr>
        <w:spacing w:line="580" w:lineRule="exact"/>
        <w:ind w:firstLine="600"/>
        <w:jc w:val="left"/>
        <w:rPr>
          <w:rFonts w:ascii="仿宋" w:hAnsi="仿宋" w:eastAsia="仿宋"/>
          <w:sz w:val="32"/>
          <w:szCs w:val="32"/>
          <w:highlight w:val="none"/>
        </w:rPr>
      </w:pPr>
      <w:r>
        <w:rPr>
          <w:rFonts w:ascii="仿宋" w:hAnsi="仿宋" w:eastAsia="仿宋"/>
          <w:sz w:val="32"/>
          <w:szCs w:val="32"/>
          <w:highlight w:val="none"/>
        </w:rPr>
        <w:t>6.5、发生突发事件，对期货公司或者客户利益产生或者可能产生重大不利影响；</w:t>
      </w:r>
    </w:p>
    <w:p>
      <w:pPr>
        <w:spacing w:line="580" w:lineRule="exact"/>
        <w:ind w:firstLine="600"/>
        <w:jc w:val="left"/>
        <w:rPr>
          <w:rFonts w:ascii="仿宋" w:hAnsi="仿宋" w:eastAsia="仿宋"/>
          <w:sz w:val="32"/>
          <w:szCs w:val="32"/>
          <w:highlight w:val="none"/>
        </w:rPr>
      </w:pPr>
      <w:r>
        <w:rPr>
          <w:rFonts w:ascii="仿宋" w:hAnsi="仿宋" w:eastAsia="仿宋"/>
          <w:sz w:val="32"/>
          <w:szCs w:val="32"/>
          <w:highlight w:val="none"/>
        </w:rPr>
        <w:t>6.6、其他可能影响期货公司持续经营的情形。</w:t>
      </w:r>
    </w:p>
    <w:p>
      <w:pPr>
        <w:spacing w:line="580" w:lineRule="exact"/>
        <w:ind w:firstLine="600"/>
        <w:jc w:val="left"/>
        <w:rPr>
          <w:rFonts w:ascii="仿宋" w:hAnsi="仿宋" w:eastAsia="仿宋"/>
          <w:sz w:val="32"/>
          <w:szCs w:val="32"/>
          <w:highlight w:val="none"/>
        </w:rPr>
      </w:pPr>
      <w:r>
        <w:rPr>
          <w:rFonts w:hint="eastAsia" w:ascii="仿宋" w:hAnsi="仿宋" w:eastAsia="仿宋"/>
          <w:sz w:val="32"/>
          <w:szCs w:val="32"/>
          <w:highlight w:val="none"/>
        </w:rPr>
        <w:t>中国证监会及其派出机构对公司及其分支机构采取《期货交易管理条例》第五十六条第二款、第四款或者第五十七条规定的监管措施或者作出行政处罚，公司应当书面通知全体股东或进行公告。</w:t>
      </w:r>
    </w:p>
    <w:p>
      <w:pPr>
        <w:spacing w:line="580" w:lineRule="exact"/>
        <w:ind w:firstLine="600"/>
        <w:jc w:val="left"/>
        <w:rPr>
          <w:rFonts w:ascii="仿宋" w:hAnsi="仿宋" w:eastAsia="仿宋"/>
          <w:sz w:val="32"/>
          <w:szCs w:val="32"/>
          <w:highlight w:val="none"/>
        </w:rPr>
      </w:pPr>
      <w:r>
        <w:rPr>
          <w:rFonts w:ascii="仿宋" w:hAnsi="仿宋" w:eastAsia="仿宋"/>
          <w:sz w:val="32"/>
          <w:szCs w:val="32"/>
          <w:highlight w:val="none"/>
        </w:rPr>
        <w:t>7</w:t>
      </w:r>
      <w:r>
        <w:rPr>
          <w:rFonts w:hint="eastAsia" w:ascii="仿宋" w:hAnsi="仿宋" w:eastAsia="仿宋"/>
          <w:sz w:val="32"/>
          <w:szCs w:val="32"/>
          <w:highlight w:val="none"/>
          <w:lang w:eastAsia="zh-CN"/>
        </w:rPr>
        <w:t>、</w:t>
      </w:r>
      <w:r>
        <w:rPr>
          <w:rFonts w:ascii="仿宋" w:hAnsi="仿宋" w:eastAsia="仿宋"/>
          <w:sz w:val="32"/>
          <w:szCs w:val="32"/>
          <w:highlight w:val="none"/>
        </w:rPr>
        <w:t>公司终止或者清算时，按其所持有的股份份额参加公司剩余财产的分配；</w:t>
      </w:r>
    </w:p>
    <w:p>
      <w:pPr>
        <w:spacing w:line="580" w:lineRule="exact"/>
        <w:ind w:firstLine="600"/>
        <w:jc w:val="left"/>
        <w:rPr>
          <w:rFonts w:ascii="仿宋" w:hAnsi="仿宋" w:eastAsia="仿宋"/>
          <w:sz w:val="32"/>
          <w:szCs w:val="32"/>
          <w:highlight w:val="none"/>
        </w:rPr>
      </w:pPr>
      <w:r>
        <w:rPr>
          <w:rFonts w:ascii="仿宋" w:hAnsi="仿宋" w:eastAsia="仿宋"/>
          <w:sz w:val="32"/>
          <w:szCs w:val="32"/>
          <w:highlight w:val="none"/>
        </w:rPr>
        <w:t>8</w:t>
      </w:r>
      <w:r>
        <w:rPr>
          <w:rFonts w:hint="eastAsia" w:ascii="仿宋" w:hAnsi="仿宋" w:eastAsia="仿宋"/>
          <w:sz w:val="32"/>
          <w:szCs w:val="32"/>
          <w:highlight w:val="none"/>
          <w:lang w:eastAsia="zh-CN"/>
        </w:rPr>
        <w:t>、</w:t>
      </w:r>
      <w:r>
        <w:rPr>
          <w:rFonts w:ascii="仿宋" w:hAnsi="仿宋" w:eastAsia="仿宋"/>
          <w:sz w:val="32"/>
          <w:szCs w:val="32"/>
          <w:highlight w:val="none"/>
        </w:rPr>
        <w:t>对股东大会作出的公司合并、分立决议持异议的股东，要求公司收购其股份；</w:t>
      </w:r>
    </w:p>
    <w:p>
      <w:pPr>
        <w:spacing w:line="580" w:lineRule="exact"/>
        <w:ind w:firstLine="600"/>
        <w:jc w:val="left"/>
        <w:rPr>
          <w:rFonts w:ascii="仿宋" w:hAnsi="仿宋" w:eastAsia="仿宋"/>
          <w:sz w:val="32"/>
          <w:szCs w:val="32"/>
          <w:highlight w:val="none"/>
        </w:rPr>
      </w:pPr>
      <w:r>
        <w:rPr>
          <w:rFonts w:ascii="仿宋" w:hAnsi="仿宋" w:eastAsia="仿宋"/>
          <w:sz w:val="32"/>
          <w:szCs w:val="32"/>
          <w:highlight w:val="none"/>
        </w:rPr>
        <w:t>9</w:t>
      </w:r>
      <w:r>
        <w:rPr>
          <w:rFonts w:hint="eastAsia" w:ascii="仿宋" w:hAnsi="仿宋" w:eastAsia="仿宋"/>
          <w:sz w:val="32"/>
          <w:szCs w:val="32"/>
          <w:highlight w:val="none"/>
          <w:lang w:eastAsia="zh-CN"/>
        </w:rPr>
        <w:t>、</w:t>
      </w:r>
      <w:r>
        <w:rPr>
          <w:rFonts w:ascii="仿宋" w:hAnsi="仿宋" w:eastAsia="仿宋"/>
          <w:sz w:val="32"/>
          <w:szCs w:val="32"/>
          <w:highlight w:val="none"/>
        </w:rPr>
        <w:t>法律、行政法规、部门规章或本章程规定的其他权利。</w:t>
      </w:r>
    </w:p>
    <w:p>
      <w:pPr>
        <w:spacing w:line="580" w:lineRule="exact"/>
        <w:ind w:firstLine="600"/>
        <w:jc w:val="left"/>
        <w:outlineLvl w:val="1"/>
        <w:rPr>
          <w:rFonts w:ascii="楷体" w:hAnsi="楷体" w:eastAsia="楷体" w:cs="楷体"/>
          <w:sz w:val="32"/>
          <w:szCs w:val="32"/>
        </w:rPr>
      </w:pPr>
      <w:bookmarkStart w:id="112" w:name="_Toc24863"/>
      <w:bookmarkStart w:id="113" w:name="_Toc23666"/>
      <w:bookmarkStart w:id="114" w:name="_Toc26950"/>
      <w:bookmarkStart w:id="115" w:name="_Toc8940"/>
      <w:bookmarkStart w:id="116" w:name="_Toc24158"/>
      <w:bookmarkStart w:id="117" w:name="_Toc23797"/>
      <w:bookmarkStart w:id="118" w:name="_Toc6887"/>
      <w:bookmarkStart w:id="119" w:name="_Toc25705"/>
      <w:bookmarkStart w:id="120" w:name="_Toc9946"/>
      <w:r>
        <w:rPr>
          <w:rFonts w:hint="eastAsia" w:ascii="楷体" w:hAnsi="楷体" w:eastAsia="楷体" w:cs="楷体"/>
          <w:sz w:val="32"/>
          <w:szCs w:val="32"/>
        </w:rPr>
        <w:t>（二）公司组织结构与有关人员情况</w:t>
      </w:r>
      <w:bookmarkEnd w:id="112"/>
      <w:bookmarkEnd w:id="113"/>
      <w:bookmarkEnd w:id="114"/>
      <w:bookmarkEnd w:id="115"/>
      <w:bookmarkEnd w:id="116"/>
      <w:bookmarkEnd w:id="117"/>
      <w:bookmarkEnd w:id="118"/>
      <w:bookmarkEnd w:id="119"/>
      <w:bookmarkEnd w:id="120"/>
    </w:p>
    <w:p>
      <w:pPr>
        <w:spacing w:line="580" w:lineRule="exact"/>
        <w:ind w:firstLine="600"/>
        <w:jc w:val="left"/>
        <w:outlineLvl w:val="2"/>
        <w:rPr>
          <w:rFonts w:ascii="仿宋" w:hAnsi="仿宋" w:eastAsia="仿宋"/>
          <w:sz w:val="32"/>
          <w:szCs w:val="32"/>
        </w:rPr>
      </w:pPr>
      <w:r>
        <w:rPr>
          <w:rFonts w:hint="eastAsia" w:ascii="仿宋" w:hAnsi="仿宋" w:eastAsia="仿宋"/>
          <w:sz w:val="32"/>
          <w:szCs w:val="32"/>
        </w:rPr>
        <w:t>1、公司的组织架构</w:t>
      </w:r>
    </w:p>
    <w:p>
      <w:pPr>
        <w:spacing w:line="580" w:lineRule="exact"/>
        <w:ind w:firstLine="600"/>
        <w:jc w:val="left"/>
        <w:rPr>
          <w:rFonts w:hint="eastAsia" w:ascii="仿宋" w:hAnsi="仿宋" w:eastAsia="仿宋"/>
          <w:sz w:val="32"/>
          <w:szCs w:val="32"/>
        </w:rPr>
      </w:pPr>
      <w:r>
        <w:rPr>
          <w:rFonts w:hint="eastAsia" w:ascii="仿宋" w:hAnsi="仿宋" w:eastAsia="仿宋"/>
          <w:sz w:val="32"/>
          <w:szCs w:val="32"/>
        </w:rPr>
        <w:t>公司设有股东大会、董事会及监事会，以五大中心（信息技术中心、机构业务中心、金融业务中心、运营管理中心、研究中心）为核心，前中后台相互配合。</w:t>
      </w:r>
    </w:p>
    <w:p>
      <w:pPr>
        <w:spacing w:line="580" w:lineRule="exact"/>
        <w:ind w:firstLine="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图：天风期货股份有限公司组织架构</w:t>
      </w:r>
    </w:p>
    <w:p>
      <w:pPr>
        <w:spacing w:line="580" w:lineRule="exact"/>
        <w:ind w:firstLine="600"/>
        <w:jc w:val="left"/>
        <w:rPr>
          <w:rFonts w:ascii="仿宋" w:hAnsi="仿宋" w:eastAsia="仿宋"/>
          <w:sz w:val="32"/>
          <w:szCs w:val="32"/>
        </w:rPr>
      </w:pPr>
      <w:r>
        <w:rPr>
          <w:sz w:val="32"/>
          <w:szCs w:val="32"/>
        </w:rPr>
        <w:drawing>
          <wp:anchor distT="0" distB="0" distL="114300" distR="114300" simplePos="0" relativeHeight="251660288" behindDoc="0" locked="0" layoutInCell="1" allowOverlap="1">
            <wp:simplePos x="0" y="0"/>
            <wp:positionH relativeFrom="column">
              <wp:align>center</wp:align>
            </wp:positionH>
            <wp:positionV relativeFrom="paragraph">
              <wp:posOffset>259080</wp:posOffset>
            </wp:positionV>
            <wp:extent cx="5272405" cy="4123690"/>
            <wp:effectExtent l="0" t="0" r="4445" b="10160"/>
            <wp:wrapTopAndBottom/>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5272405" cy="4123690"/>
                    </a:xfrm>
                    <a:prstGeom prst="rect">
                      <a:avLst/>
                    </a:prstGeom>
                    <a:noFill/>
                    <a:ln>
                      <a:noFill/>
                    </a:ln>
                  </pic:spPr>
                </pic:pic>
              </a:graphicData>
            </a:graphic>
          </wp:anchor>
        </w:drawing>
      </w:r>
      <w:r>
        <w:rPr>
          <w:rFonts w:hint="eastAsia" w:ascii="仿宋" w:hAnsi="仿宋" w:eastAsia="仿宋"/>
          <w:sz w:val="32"/>
          <w:szCs w:val="32"/>
        </w:rPr>
        <w:t>2、董事会（董事、独董）、监事会（监事）、高级管理人员（含履职情况）</w:t>
      </w:r>
    </w:p>
    <w:p>
      <w:pPr>
        <w:spacing w:line="580" w:lineRule="exact"/>
        <w:ind w:firstLine="600"/>
        <w:jc w:val="left"/>
        <w:rPr>
          <w:rFonts w:ascii="仿宋" w:hAnsi="仿宋" w:eastAsia="仿宋"/>
          <w:sz w:val="32"/>
          <w:szCs w:val="32"/>
        </w:rPr>
      </w:pPr>
      <w:r>
        <w:rPr>
          <w:rFonts w:hint="eastAsia" w:ascii="仿宋" w:hAnsi="仿宋" w:eastAsia="仿宋"/>
          <w:sz w:val="32"/>
          <w:szCs w:val="32"/>
        </w:rPr>
        <w:t>公司董事会现有成员5名，其中非独立董事4名，独立董事1名；公司设监事3名，其中监事会主席1名，职工监事1名，监事1名。20</w:t>
      </w:r>
      <w:r>
        <w:rPr>
          <w:rFonts w:ascii="仿宋" w:hAnsi="仿宋" w:eastAsia="仿宋"/>
          <w:sz w:val="32"/>
          <w:szCs w:val="32"/>
        </w:rPr>
        <w:t>20</w:t>
      </w:r>
      <w:r>
        <w:rPr>
          <w:rFonts w:hint="eastAsia" w:ascii="仿宋" w:hAnsi="仿宋" w:eastAsia="仿宋"/>
          <w:sz w:val="32"/>
          <w:szCs w:val="32"/>
        </w:rPr>
        <w:t>年共召开董事会9次，共召开监事会3次。</w:t>
      </w:r>
    </w:p>
    <w:p>
      <w:pPr>
        <w:spacing w:line="580" w:lineRule="exact"/>
        <w:ind w:firstLine="600"/>
        <w:jc w:val="left"/>
        <w:rPr>
          <w:rFonts w:ascii="仿宋" w:hAnsi="仿宋" w:eastAsia="仿宋"/>
          <w:sz w:val="32"/>
          <w:szCs w:val="32"/>
        </w:rPr>
      </w:pPr>
      <w:r>
        <w:rPr>
          <w:rFonts w:hint="eastAsia" w:ascii="仿宋" w:hAnsi="仿宋" w:eastAsia="仿宋"/>
          <w:sz w:val="32"/>
          <w:szCs w:val="32"/>
        </w:rPr>
        <w:t>公司高级管理人员共有</w:t>
      </w:r>
      <w:r>
        <w:rPr>
          <w:rFonts w:ascii="仿宋" w:hAnsi="仿宋" w:eastAsia="仿宋"/>
          <w:sz w:val="32"/>
          <w:szCs w:val="32"/>
        </w:rPr>
        <w:t>10</w:t>
      </w:r>
      <w:r>
        <w:rPr>
          <w:rFonts w:hint="eastAsia" w:ascii="仿宋" w:hAnsi="仿宋" w:eastAsia="仿宋"/>
          <w:sz w:val="32"/>
          <w:szCs w:val="32"/>
        </w:rPr>
        <w:t>名，其中总经理1名，副总经理</w:t>
      </w:r>
      <w:r>
        <w:rPr>
          <w:rFonts w:ascii="仿宋" w:hAnsi="仿宋" w:eastAsia="仿宋"/>
          <w:sz w:val="32"/>
          <w:szCs w:val="32"/>
        </w:rPr>
        <w:t>7</w:t>
      </w:r>
      <w:r>
        <w:rPr>
          <w:rFonts w:hint="eastAsia" w:ascii="仿宋" w:hAnsi="仿宋" w:eastAsia="仿宋"/>
          <w:sz w:val="32"/>
          <w:szCs w:val="32"/>
        </w:rPr>
        <w:t>名，首席风险官1名,财务总监1名。公司高级管理层依据法律、法规、公司章程以及董事会的授权行使职权，组织开展经营管理活动。</w:t>
      </w:r>
    </w:p>
    <w:p>
      <w:pPr>
        <w:spacing w:line="580" w:lineRule="exact"/>
        <w:ind w:firstLine="600"/>
        <w:jc w:val="left"/>
        <w:outlineLvl w:val="1"/>
        <w:rPr>
          <w:rFonts w:ascii="楷体" w:hAnsi="楷体" w:eastAsia="楷体" w:cs="楷体"/>
          <w:sz w:val="32"/>
          <w:szCs w:val="32"/>
        </w:rPr>
      </w:pPr>
      <w:bookmarkStart w:id="121" w:name="_Toc1085"/>
      <w:bookmarkStart w:id="122" w:name="_Toc9933"/>
      <w:bookmarkStart w:id="123" w:name="_Toc7815"/>
      <w:bookmarkStart w:id="124" w:name="_Toc19282"/>
      <w:bookmarkStart w:id="125" w:name="_Toc30444"/>
      <w:bookmarkStart w:id="126" w:name="_Toc20234"/>
      <w:bookmarkStart w:id="127" w:name="_Toc29482"/>
      <w:bookmarkStart w:id="128" w:name="_Toc29867"/>
      <w:bookmarkStart w:id="129" w:name="_Toc31178"/>
      <w:r>
        <w:rPr>
          <w:rFonts w:hint="eastAsia" w:ascii="楷体" w:hAnsi="楷体" w:eastAsia="楷体" w:cs="楷体"/>
          <w:sz w:val="32"/>
          <w:szCs w:val="32"/>
        </w:rPr>
        <w:t>（三）与经济、环境和社会业绩相关的政策及其实施情况</w:t>
      </w:r>
      <w:bookmarkEnd w:id="121"/>
      <w:bookmarkEnd w:id="122"/>
      <w:bookmarkEnd w:id="123"/>
      <w:bookmarkEnd w:id="124"/>
      <w:bookmarkEnd w:id="125"/>
      <w:bookmarkEnd w:id="126"/>
      <w:bookmarkEnd w:id="127"/>
      <w:bookmarkEnd w:id="128"/>
      <w:bookmarkEnd w:id="129"/>
    </w:p>
    <w:p>
      <w:pPr>
        <w:spacing w:line="580" w:lineRule="exact"/>
        <w:ind w:firstLine="600"/>
        <w:jc w:val="left"/>
        <w:rPr>
          <w:rFonts w:ascii="仿宋" w:hAnsi="仿宋" w:eastAsia="仿宋"/>
          <w:sz w:val="32"/>
          <w:szCs w:val="32"/>
        </w:rPr>
      </w:pPr>
      <w:r>
        <w:rPr>
          <w:rFonts w:hint="eastAsia" w:ascii="仿宋" w:hAnsi="仿宋" w:eastAsia="仿宋"/>
          <w:sz w:val="32"/>
          <w:szCs w:val="32"/>
        </w:rPr>
        <w:t>天风期货始终按照《期货交易管理条例》、《期货公司监督管理办法》等法规和证监会规章的要求，积极推进制度建设，在经营管理过程中，</w:t>
      </w:r>
      <w:r>
        <w:rPr>
          <w:rFonts w:hint="eastAsia" w:ascii="仿宋" w:hAnsi="仿宋" w:eastAsia="仿宋"/>
          <w:sz w:val="32"/>
          <w:szCs w:val="32"/>
          <w:lang w:val="en-US" w:eastAsia="zh-CN"/>
        </w:rPr>
        <w:t>公</w:t>
      </w:r>
      <w:r>
        <w:rPr>
          <w:rFonts w:hint="eastAsia" w:ascii="仿宋" w:hAnsi="仿宋" w:eastAsia="仿宋"/>
          <w:sz w:val="32"/>
          <w:szCs w:val="32"/>
        </w:rPr>
        <w:t>司各职能部门、各业务单位严格按照各项规章制度有序运转，有效提高工作效率。</w:t>
      </w:r>
    </w:p>
    <w:p>
      <w:pPr>
        <w:spacing w:line="580" w:lineRule="exact"/>
        <w:ind w:firstLine="600"/>
        <w:jc w:val="left"/>
        <w:outlineLvl w:val="1"/>
        <w:rPr>
          <w:rFonts w:ascii="楷体" w:hAnsi="楷体" w:eastAsia="楷体" w:cs="楷体"/>
          <w:sz w:val="32"/>
          <w:szCs w:val="32"/>
        </w:rPr>
      </w:pPr>
      <w:bookmarkStart w:id="130" w:name="_Toc15274"/>
      <w:bookmarkStart w:id="131" w:name="_Toc31580"/>
      <w:bookmarkStart w:id="132" w:name="_Toc19179"/>
      <w:bookmarkStart w:id="133" w:name="_Toc16045"/>
      <w:bookmarkStart w:id="134" w:name="_Toc8519"/>
      <w:bookmarkStart w:id="135" w:name="_Toc27754"/>
      <w:bookmarkStart w:id="136" w:name="_Toc8184"/>
      <w:bookmarkStart w:id="137" w:name="_Toc28141"/>
      <w:bookmarkStart w:id="138" w:name="_Toc8772"/>
      <w:r>
        <w:rPr>
          <w:rFonts w:hint="eastAsia" w:ascii="楷体" w:hAnsi="楷体" w:eastAsia="楷体" w:cs="楷体"/>
          <w:sz w:val="32"/>
          <w:szCs w:val="32"/>
        </w:rPr>
        <w:t>（四）利益相关者参与</w:t>
      </w:r>
      <w:bookmarkEnd w:id="130"/>
      <w:bookmarkEnd w:id="131"/>
      <w:bookmarkEnd w:id="132"/>
      <w:bookmarkEnd w:id="133"/>
      <w:bookmarkEnd w:id="134"/>
      <w:bookmarkEnd w:id="135"/>
      <w:bookmarkEnd w:id="136"/>
      <w:bookmarkEnd w:id="137"/>
      <w:bookmarkEnd w:id="138"/>
    </w:p>
    <w:p>
      <w:pPr>
        <w:spacing w:line="580" w:lineRule="exact"/>
        <w:ind w:firstLine="600"/>
        <w:jc w:val="left"/>
        <w:rPr>
          <w:rFonts w:ascii="仿宋" w:hAnsi="仿宋" w:eastAsia="仿宋"/>
          <w:sz w:val="32"/>
          <w:szCs w:val="32"/>
        </w:rPr>
      </w:pPr>
      <w:r>
        <w:rPr>
          <w:rFonts w:hint="eastAsia" w:ascii="仿宋" w:hAnsi="仿宋" w:eastAsia="仿宋"/>
          <w:sz w:val="32"/>
          <w:szCs w:val="32"/>
        </w:rPr>
        <w:t>公司在股东的大力支持下，始终保持稳健、高效的发展势头，良好的市场信誉和品牌形象，持续不断的为投资者提供一系列的优质增值服务。天风证券作为公司的控股母公司</w:t>
      </w:r>
      <w:r>
        <w:rPr>
          <w:rFonts w:hint="eastAsia" w:ascii="仿宋" w:hAnsi="仿宋" w:eastAsia="仿宋"/>
          <w:sz w:val="32"/>
          <w:szCs w:val="32"/>
          <w:lang w:val="en-US" w:eastAsia="zh-CN"/>
        </w:rPr>
        <w:t>在</w:t>
      </w:r>
      <w:r>
        <w:rPr>
          <w:rFonts w:hint="eastAsia" w:ascii="仿宋" w:hAnsi="仿宋" w:eastAsia="仿宋"/>
          <w:sz w:val="32"/>
          <w:szCs w:val="32"/>
        </w:rPr>
        <w:t>战略与经营层面给予公司强有力的支持，</w:t>
      </w:r>
      <w:r>
        <w:rPr>
          <w:rFonts w:hint="eastAsia" w:ascii="仿宋" w:hAnsi="仿宋" w:eastAsia="仿宋"/>
          <w:sz w:val="32"/>
          <w:szCs w:val="32"/>
          <w:lang w:val="en-US" w:eastAsia="zh-CN"/>
        </w:rPr>
        <w:t>双方</w:t>
      </w:r>
      <w:r>
        <w:rPr>
          <w:rFonts w:hint="eastAsia" w:ascii="仿宋" w:hAnsi="仿宋" w:eastAsia="仿宋"/>
          <w:sz w:val="32"/>
          <w:szCs w:val="32"/>
        </w:rPr>
        <w:t>协同发展。公司结合天风证券的优势资源和营业网点，形成遍及全国的</w:t>
      </w:r>
      <w:r>
        <w:rPr>
          <w:rFonts w:hint="eastAsia" w:ascii="仿宋" w:hAnsi="仿宋" w:eastAsia="仿宋"/>
          <w:sz w:val="32"/>
          <w:szCs w:val="32"/>
          <w:lang w:val="en-US" w:eastAsia="zh-CN"/>
        </w:rPr>
        <w:t>营销渠道</w:t>
      </w:r>
      <w:r>
        <w:rPr>
          <w:rFonts w:hint="eastAsia" w:ascii="仿宋" w:hAnsi="仿宋" w:eastAsia="仿宋"/>
          <w:sz w:val="32"/>
          <w:szCs w:val="32"/>
        </w:rPr>
        <w:t>布局。</w:t>
      </w:r>
    </w:p>
    <w:p>
      <w:pPr>
        <w:spacing w:line="580" w:lineRule="exact"/>
        <w:ind w:firstLine="600"/>
        <w:jc w:val="left"/>
        <w:outlineLvl w:val="1"/>
        <w:rPr>
          <w:rFonts w:ascii="楷体" w:hAnsi="楷体" w:eastAsia="楷体" w:cs="楷体"/>
          <w:sz w:val="32"/>
          <w:szCs w:val="32"/>
        </w:rPr>
      </w:pPr>
      <w:bookmarkStart w:id="139" w:name="_Toc7423"/>
      <w:bookmarkStart w:id="140" w:name="_Toc7021"/>
      <w:bookmarkStart w:id="141" w:name="_Toc22320"/>
      <w:bookmarkStart w:id="142" w:name="_Toc11300"/>
      <w:bookmarkStart w:id="143" w:name="_Toc16233"/>
      <w:bookmarkStart w:id="144" w:name="_Toc4750"/>
      <w:bookmarkStart w:id="145" w:name="_Toc16657"/>
      <w:bookmarkStart w:id="146" w:name="_Toc19624"/>
      <w:bookmarkStart w:id="147" w:name="_Toc6844"/>
      <w:r>
        <w:rPr>
          <w:rFonts w:hint="eastAsia" w:ascii="楷体" w:hAnsi="楷体" w:eastAsia="楷体" w:cs="楷体"/>
          <w:sz w:val="32"/>
          <w:szCs w:val="32"/>
        </w:rPr>
        <w:t>（五）履行经济、环境和社会责任的计划与步骤</w:t>
      </w:r>
      <w:bookmarkEnd w:id="139"/>
      <w:bookmarkEnd w:id="140"/>
      <w:bookmarkEnd w:id="141"/>
      <w:bookmarkEnd w:id="142"/>
      <w:bookmarkEnd w:id="143"/>
      <w:bookmarkEnd w:id="144"/>
      <w:bookmarkEnd w:id="145"/>
      <w:bookmarkEnd w:id="146"/>
      <w:bookmarkEnd w:id="147"/>
    </w:p>
    <w:p>
      <w:pPr>
        <w:spacing w:line="580" w:lineRule="exact"/>
        <w:ind w:firstLine="6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公司积极履行经济、环境和社会责任并制定了完善的实施计划与步骤。</w:t>
      </w:r>
    </w:p>
    <w:p>
      <w:pPr>
        <w:spacing w:line="580" w:lineRule="exact"/>
        <w:ind w:firstLine="6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在履行经济责任方面，公司持续发挥期货公司服务实体经济的使命，积极参与期货市场发展，力争为中国金融市场的高质量发展做出贡献。公司将持续加强信息技术与研究能力投入，打造便捷的交易系统，提高投顾的水平，持续为投资者提供优质完善的平台与一系列增值服务。</w:t>
      </w:r>
    </w:p>
    <w:p>
      <w:pPr>
        <w:spacing w:line="580" w:lineRule="exact"/>
        <w:ind w:firstLine="600"/>
        <w:jc w:val="left"/>
        <w:rPr>
          <w:rFonts w:hint="default" w:ascii="仿宋" w:hAnsi="仿宋" w:eastAsia="仿宋"/>
          <w:sz w:val="32"/>
          <w:szCs w:val="32"/>
          <w:lang w:val="en-US" w:eastAsia="zh-CN"/>
        </w:rPr>
      </w:pPr>
      <w:r>
        <w:rPr>
          <w:rFonts w:hint="eastAsia" w:ascii="仿宋" w:hAnsi="仿宋" w:eastAsia="仿宋"/>
          <w:sz w:val="32"/>
          <w:szCs w:val="32"/>
          <w:lang w:val="en-US" w:eastAsia="zh-CN"/>
        </w:rPr>
        <w:t>在履行环境责任方面，公司贯彻落实绿色环保的发展要求，大力推动可持续发展。公司严格遵照《中华人民共和国环境保护法》、《中华人民共和国节约能源法》、《上海市生活垃圾管理》等法律法规，致力于将节能意识融入员工日常工作的各个方面，最大程度降低能耗、减少污染。公司将继续保持可持续发展，积极在日常工作中培养员工的节能意识。</w:t>
      </w:r>
    </w:p>
    <w:p>
      <w:pPr>
        <w:spacing w:line="580" w:lineRule="exact"/>
        <w:ind w:firstLine="600"/>
        <w:jc w:val="left"/>
        <w:rPr>
          <w:rFonts w:hint="default" w:ascii="仿宋" w:hAnsi="仿宋" w:eastAsia="仿宋"/>
          <w:sz w:val="32"/>
          <w:szCs w:val="32"/>
          <w:lang w:val="en-US" w:eastAsia="zh-CN"/>
        </w:rPr>
      </w:pPr>
      <w:r>
        <w:rPr>
          <w:rFonts w:hint="eastAsia" w:ascii="仿宋" w:hAnsi="仿宋" w:eastAsia="仿宋"/>
          <w:sz w:val="32"/>
          <w:szCs w:val="32"/>
          <w:lang w:val="en-US" w:eastAsia="zh-CN"/>
        </w:rPr>
        <w:t>在履行社会责任方面，公司积极参与“保险加期货”、“保值贷”等创新试点业务，持续在期货市场服务实体经济与金融扶贫方面贡献自身的力量。公司将加大参与金融扶贫的项目，努力提高自身金融扶贫的能力。</w:t>
      </w:r>
    </w:p>
    <w:p>
      <w:pPr>
        <w:spacing w:line="580" w:lineRule="exact"/>
        <w:ind w:firstLine="600"/>
        <w:jc w:val="left"/>
        <w:outlineLvl w:val="1"/>
        <w:rPr>
          <w:rFonts w:ascii="楷体" w:hAnsi="楷体" w:eastAsia="楷体" w:cs="楷体"/>
          <w:sz w:val="32"/>
          <w:szCs w:val="32"/>
        </w:rPr>
      </w:pPr>
      <w:bookmarkStart w:id="148" w:name="_Toc24113"/>
      <w:bookmarkStart w:id="149" w:name="_Toc19716"/>
      <w:bookmarkStart w:id="150" w:name="_Toc7163"/>
      <w:bookmarkStart w:id="151" w:name="_Toc66"/>
      <w:bookmarkStart w:id="152" w:name="_Toc8451"/>
      <w:bookmarkStart w:id="153" w:name="_Toc11384"/>
      <w:bookmarkStart w:id="154" w:name="_Toc12063"/>
      <w:bookmarkStart w:id="155" w:name="_Toc26237"/>
      <w:bookmarkStart w:id="156" w:name="_Toc3917"/>
      <w:r>
        <w:rPr>
          <w:rFonts w:hint="eastAsia" w:ascii="楷体" w:hAnsi="楷体" w:eastAsia="楷体" w:cs="楷体"/>
          <w:sz w:val="32"/>
          <w:szCs w:val="32"/>
          <w:highlight w:val="none"/>
        </w:rPr>
        <w:t>（六）取得经济、环境和社会管理体系有关的具有公信力的认证状况</w:t>
      </w:r>
      <w:bookmarkEnd w:id="148"/>
      <w:bookmarkEnd w:id="149"/>
      <w:bookmarkEnd w:id="150"/>
      <w:bookmarkEnd w:id="151"/>
      <w:bookmarkEnd w:id="152"/>
      <w:bookmarkEnd w:id="153"/>
      <w:bookmarkEnd w:id="154"/>
      <w:bookmarkEnd w:id="155"/>
      <w:bookmarkEnd w:id="156"/>
    </w:p>
    <w:p>
      <w:pPr>
        <w:spacing w:line="580" w:lineRule="exact"/>
        <w:ind w:firstLine="600"/>
        <w:jc w:val="left"/>
        <w:rPr>
          <w:rFonts w:ascii="仿宋" w:hAnsi="仿宋" w:eastAsia="仿宋"/>
          <w:sz w:val="32"/>
          <w:szCs w:val="32"/>
        </w:rPr>
      </w:pPr>
      <w:r>
        <w:rPr>
          <w:rFonts w:hint="eastAsia" w:ascii="仿宋" w:hAnsi="仿宋" w:eastAsia="仿宋"/>
          <w:sz w:val="32"/>
          <w:szCs w:val="32"/>
        </w:rPr>
        <w:t>公司获得大连商品交易所2020年度优秀会员奖；郑州商品交易所2020年度市场成长优秀会员；郑州商品交易所2020年度品种服务优秀会员。</w:t>
      </w:r>
    </w:p>
    <w:p>
      <w:pPr>
        <w:spacing w:line="580" w:lineRule="exact"/>
        <w:ind w:firstLine="640" w:firstLineChars="200"/>
        <w:jc w:val="left"/>
        <w:outlineLvl w:val="0"/>
        <w:rPr>
          <w:rFonts w:ascii="黑体" w:hAnsi="黑体" w:eastAsia="黑体" w:cs="黑体"/>
          <w:b w:val="0"/>
          <w:bCs/>
          <w:sz w:val="32"/>
          <w:szCs w:val="32"/>
        </w:rPr>
      </w:pPr>
      <w:bookmarkStart w:id="157" w:name="_Toc15677"/>
      <w:bookmarkStart w:id="158" w:name="_Toc13341"/>
      <w:bookmarkStart w:id="159" w:name="_Toc31784"/>
      <w:bookmarkStart w:id="160" w:name="_Toc21687"/>
      <w:bookmarkStart w:id="161" w:name="_Toc8283"/>
      <w:bookmarkStart w:id="162" w:name="_Toc458"/>
      <w:bookmarkStart w:id="163" w:name="_Toc23861"/>
      <w:bookmarkStart w:id="164" w:name="_Toc12608"/>
      <w:bookmarkStart w:id="165" w:name="_Toc6622"/>
      <w:bookmarkStart w:id="166" w:name="_Toc31095"/>
      <w:r>
        <w:rPr>
          <w:rFonts w:hint="eastAsia" w:ascii="黑体" w:hAnsi="黑体" w:eastAsia="黑体" w:cs="黑体"/>
          <w:bCs/>
          <w:sz w:val="32"/>
          <w:szCs w:val="32"/>
        </w:rPr>
        <w:t>四、</w:t>
      </w:r>
      <w:r>
        <w:rPr>
          <w:rFonts w:hint="eastAsia" w:ascii="黑体" w:hAnsi="黑体" w:eastAsia="黑体" w:cs="黑体"/>
          <w:b w:val="0"/>
          <w:bCs/>
          <w:sz w:val="32"/>
          <w:szCs w:val="32"/>
        </w:rPr>
        <w:t>经济责任与业绩</w:t>
      </w:r>
      <w:bookmarkEnd w:id="157"/>
      <w:bookmarkEnd w:id="158"/>
      <w:bookmarkEnd w:id="159"/>
      <w:bookmarkEnd w:id="160"/>
      <w:bookmarkEnd w:id="161"/>
      <w:bookmarkEnd w:id="162"/>
      <w:bookmarkEnd w:id="163"/>
      <w:bookmarkEnd w:id="164"/>
      <w:bookmarkEnd w:id="165"/>
      <w:bookmarkEnd w:id="166"/>
    </w:p>
    <w:p>
      <w:pPr>
        <w:spacing w:line="580" w:lineRule="exact"/>
        <w:ind w:firstLine="600"/>
        <w:jc w:val="left"/>
        <w:outlineLvl w:val="1"/>
        <w:rPr>
          <w:rFonts w:ascii="楷体" w:hAnsi="楷体" w:eastAsia="楷体" w:cs="楷体"/>
          <w:sz w:val="32"/>
          <w:szCs w:val="32"/>
        </w:rPr>
      </w:pPr>
      <w:bookmarkStart w:id="167" w:name="_Toc32208"/>
      <w:bookmarkStart w:id="168" w:name="_Toc31674"/>
      <w:bookmarkStart w:id="169" w:name="_Toc31719"/>
      <w:bookmarkStart w:id="170" w:name="_Toc890"/>
      <w:bookmarkStart w:id="171" w:name="_Toc4676"/>
      <w:bookmarkStart w:id="172" w:name="_Toc17715"/>
      <w:bookmarkStart w:id="173" w:name="_Toc29273"/>
      <w:bookmarkStart w:id="174" w:name="_Toc27578"/>
      <w:bookmarkStart w:id="175" w:name="_Toc22668"/>
      <w:r>
        <w:rPr>
          <w:rFonts w:hint="eastAsia" w:ascii="楷体" w:hAnsi="楷体" w:eastAsia="楷体" w:cs="楷体"/>
          <w:sz w:val="32"/>
          <w:szCs w:val="32"/>
        </w:rPr>
        <w:t>（一)公司经济发展大事记</w:t>
      </w:r>
      <w:bookmarkEnd w:id="167"/>
      <w:bookmarkEnd w:id="168"/>
      <w:bookmarkEnd w:id="169"/>
      <w:bookmarkEnd w:id="170"/>
      <w:bookmarkEnd w:id="171"/>
      <w:bookmarkEnd w:id="172"/>
      <w:bookmarkEnd w:id="173"/>
      <w:bookmarkEnd w:id="174"/>
      <w:bookmarkEnd w:id="175"/>
    </w:p>
    <w:p>
      <w:pPr>
        <w:spacing w:line="580" w:lineRule="exact"/>
        <w:ind w:firstLine="600"/>
        <w:jc w:val="left"/>
        <w:rPr>
          <w:rFonts w:ascii="仿宋" w:hAnsi="仿宋" w:eastAsia="仿宋"/>
          <w:sz w:val="32"/>
          <w:szCs w:val="32"/>
        </w:rPr>
      </w:pPr>
      <w:r>
        <w:rPr>
          <w:rFonts w:hint="eastAsia" w:ascii="仿宋" w:hAnsi="仿宋" w:eastAsia="仿宋"/>
          <w:sz w:val="32"/>
          <w:szCs w:val="32"/>
        </w:rPr>
        <w:t>20</w:t>
      </w:r>
      <w:r>
        <w:rPr>
          <w:rFonts w:ascii="仿宋" w:hAnsi="仿宋" w:eastAsia="仿宋"/>
          <w:sz w:val="32"/>
          <w:szCs w:val="32"/>
        </w:rPr>
        <w:t>20</w:t>
      </w:r>
      <w:r>
        <w:rPr>
          <w:rFonts w:hint="eastAsia" w:ascii="仿宋" w:hAnsi="仿宋" w:eastAsia="仿宋"/>
          <w:sz w:val="32"/>
          <w:szCs w:val="32"/>
        </w:rPr>
        <w:t>年，公司新设上海分公司。</w:t>
      </w:r>
    </w:p>
    <w:p>
      <w:pPr>
        <w:spacing w:line="580" w:lineRule="exact"/>
        <w:ind w:firstLine="600"/>
        <w:jc w:val="left"/>
        <w:rPr>
          <w:rFonts w:ascii="仿宋" w:hAnsi="仿宋" w:eastAsia="仿宋"/>
          <w:sz w:val="32"/>
          <w:szCs w:val="32"/>
        </w:rPr>
      </w:pPr>
      <w:r>
        <w:rPr>
          <w:rFonts w:hint="eastAsia" w:ascii="仿宋" w:hAnsi="仿宋" w:eastAsia="仿宋"/>
          <w:sz w:val="32"/>
          <w:szCs w:val="32"/>
        </w:rPr>
        <w:t>2020年</w:t>
      </w:r>
      <w:bookmarkStart w:id="285" w:name="_GoBack"/>
      <w:bookmarkEnd w:id="285"/>
      <w:r>
        <w:rPr>
          <w:rFonts w:hint="eastAsia" w:ascii="仿宋" w:hAnsi="仿宋" w:eastAsia="仿宋"/>
          <w:sz w:val="32"/>
          <w:szCs w:val="32"/>
        </w:rPr>
        <w:t>，公司新设北京分公司。</w:t>
      </w:r>
    </w:p>
    <w:p>
      <w:pPr>
        <w:spacing w:line="580" w:lineRule="exact"/>
        <w:ind w:firstLine="600"/>
        <w:jc w:val="left"/>
        <w:outlineLvl w:val="1"/>
        <w:rPr>
          <w:rFonts w:ascii="楷体" w:hAnsi="楷体" w:eastAsia="楷体" w:cs="楷体"/>
          <w:sz w:val="32"/>
          <w:szCs w:val="32"/>
        </w:rPr>
      </w:pPr>
      <w:bookmarkStart w:id="176" w:name="_Toc9455"/>
      <w:bookmarkStart w:id="177" w:name="_Toc29220"/>
      <w:bookmarkStart w:id="178" w:name="_Toc16324"/>
      <w:bookmarkStart w:id="179" w:name="_Toc23676"/>
      <w:bookmarkStart w:id="180" w:name="_Toc19103"/>
      <w:bookmarkStart w:id="181" w:name="_Toc31022"/>
      <w:bookmarkStart w:id="182" w:name="_Toc20467"/>
      <w:bookmarkStart w:id="183" w:name="_Toc27832"/>
      <w:bookmarkStart w:id="184" w:name="_Toc802"/>
      <w:r>
        <w:rPr>
          <w:rFonts w:hint="eastAsia" w:ascii="楷体" w:hAnsi="楷体" w:eastAsia="楷体" w:cs="楷体"/>
          <w:sz w:val="32"/>
          <w:szCs w:val="32"/>
        </w:rPr>
        <w:t>（二）公司各类指标</w:t>
      </w:r>
      <w:bookmarkEnd w:id="176"/>
      <w:bookmarkEnd w:id="177"/>
      <w:bookmarkEnd w:id="178"/>
      <w:bookmarkEnd w:id="179"/>
      <w:bookmarkEnd w:id="180"/>
      <w:bookmarkEnd w:id="181"/>
      <w:bookmarkEnd w:id="182"/>
      <w:bookmarkEnd w:id="183"/>
      <w:bookmarkEnd w:id="184"/>
    </w:p>
    <w:p>
      <w:pPr>
        <w:spacing w:line="580" w:lineRule="exact"/>
        <w:ind w:firstLine="600"/>
        <w:jc w:val="left"/>
        <w:outlineLvl w:val="1"/>
        <w:rPr>
          <w:rFonts w:hint="eastAsia" w:ascii="仿宋" w:hAnsi="仿宋" w:eastAsia="仿宋" w:cs="仿宋"/>
          <w:sz w:val="32"/>
          <w:szCs w:val="32"/>
          <w:lang w:val="en-US" w:eastAsia="zh-CN"/>
        </w:rPr>
      </w:pPr>
      <w:bookmarkStart w:id="185" w:name="_Toc16068"/>
      <w:bookmarkStart w:id="186" w:name="_Toc26554"/>
      <w:bookmarkStart w:id="187" w:name="_Toc25648"/>
      <w:bookmarkStart w:id="188" w:name="_Toc1420"/>
      <w:bookmarkStart w:id="189" w:name="_Toc22344"/>
      <w:bookmarkStart w:id="190" w:name="_Toc24579"/>
      <w:bookmarkStart w:id="191" w:name="_Toc22548"/>
      <w:bookmarkStart w:id="192" w:name="_Toc19548"/>
      <w:bookmarkStart w:id="193" w:name="_Toc23047"/>
      <w:r>
        <w:rPr>
          <w:rFonts w:hint="eastAsia" w:ascii="仿宋" w:hAnsi="仿宋" w:eastAsia="仿宋" w:cs="仿宋"/>
          <w:sz w:val="32"/>
          <w:szCs w:val="32"/>
          <w:lang w:val="en-US" w:eastAsia="zh-CN"/>
        </w:rPr>
        <w:t>截止2020年末，公司实现交易额40,257亿元，期末客户权益规模53.7亿元；客户构成中，个人客户占比94.91%，机构占比5.09%；手续费收入构成中，商品期货手续费收入占比94.49%，金融期货手续费收入占比5.51%；净资本与风险资本准备总额的比例为165%，净资本与权益总额的比例为73%，流动资产与流动负债的比例为741%，负债与净资产的比例为36%。</w:t>
      </w:r>
    </w:p>
    <w:p>
      <w:pPr>
        <w:spacing w:line="580" w:lineRule="exact"/>
        <w:ind w:firstLine="600"/>
        <w:jc w:val="left"/>
        <w:outlineLvl w:val="1"/>
        <w:rPr>
          <w:rFonts w:ascii="楷体" w:hAnsi="楷体" w:eastAsia="楷体" w:cs="楷体"/>
          <w:sz w:val="32"/>
          <w:szCs w:val="32"/>
        </w:rPr>
      </w:pPr>
      <w:r>
        <w:rPr>
          <w:rFonts w:hint="eastAsia" w:ascii="楷体" w:hAnsi="楷体" w:eastAsia="楷体" w:cs="楷体"/>
          <w:sz w:val="32"/>
          <w:szCs w:val="32"/>
        </w:rPr>
        <w:t>（三）对利益相关者的利益分配</w:t>
      </w:r>
      <w:bookmarkEnd w:id="185"/>
      <w:bookmarkEnd w:id="186"/>
      <w:bookmarkEnd w:id="187"/>
      <w:bookmarkEnd w:id="188"/>
      <w:bookmarkEnd w:id="189"/>
      <w:bookmarkEnd w:id="190"/>
      <w:bookmarkEnd w:id="191"/>
      <w:bookmarkEnd w:id="192"/>
      <w:bookmarkEnd w:id="193"/>
    </w:p>
    <w:p>
      <w:pPr>
        <w:spacing w:line="580" w:lineRule="exact"/>
        <w:ind w:firstLine="600"/>
        <w:jc w:val="left"/>
        <w:rPr>
          <w:rFonts w:ascii="仿宋" w:hAnsi="仿宋" w:eastAsia="仿宋" w:cs="仿宋"/>
          <w:sz w:val="32"/>
          <w:szCs w:val="32"/>
        </w:rPr>
      </w:pPr>
      <w:r>
        <w:rPr>
          <w:rFonts w:hint="eastAsia" w:ascii="仿宋" w:hAnsi="仿宋" w:eastAsia="仿宋"/>
          <w:sz w:val="32"/>
          <w:szCs w:val="32"/>
          <w:lang w:val="en-US" w:eastAsia="zh-CN"/>
        </w:rPr>
        <w:t>2020年，</w:t>
      </w:r>
      <w:r>
        <w:rPr>
          <w:rFonts w:hint="eastAsia" w:ascii="仿宋" w:hAnsi="仿宋" w:eastAsia="仿宋" w:cs="仿宋"/>
          <w:sz w:val="32"/>
          <w:szCs w:val="32"/>
        </w:rPr>
        <w:t>公司依法缴纳企业所得税，增值税及附加税，印花税，代扣代缴个人所得税，共计约595.99万元。公司秉持“以奋斗者为本”的价值理念，充分保障员工权益，建立有完善的薪酬福利体系与激励考核制度，使员工可以共享公司发展成果，不仅增强了公司内部的凝聚力，而且吸引了越来越多的行业人才加入。除五险一金外，公司还为员工投保补充医疗保险、发放消费扶贫礼包等，切实保障每一位在职员工的福利待遇。</w:t>
      </w:r>
    </w:p>
    <w:p>
      <w:pPr>
        <w:spacing w:line="580" w:lineRule="exact"/>
        <w:ind w:firstLine="600"/>
        <w:jc w:val="left"/>
        <w:outlineLvl w:val="1"/>
        <w:rPr>
          <w:rFonts w:ascii="楷体" w:hAnsi="楷体" w:eastAsia="楷体" w:cs="楷体"/>
          <w:sz w:val="32"/>
          <w:szCs w:val="32"/>
        </w:rPr>
      </w:pPr>
      <w:bookmarkStart w:id="194" w:name="_Toc15033"/>
      <w:bookmarkStart w:id="195" w:name="_Toc17509"/>
      <w:bookmarkStart w:id="196" w:name="_Toc23560"/>
      <w:bookmarkStart w:id="197" w:name="_Toc4756"/>
      <w:bookmarkStart w:id="198" w:name="_Toc23771"/>
      <w:bookmarkStart w:id="199" w:name="_Toc15720"/>
      <w:bookmarkStart w:id="200" w:name="_Toc24164"/>
      <w:bookmarkStart w:id="201" w:name="_Toc8643"/>
      <w:bookmarkStart w:id="202" w:name="_Toc21149"/>
      <w:r>
        <w:rPr>
          <w:rFonts w:hint="eastAsia" w:ascii="楷体" w:hAnsi="楷体" w:eastAsia="楷体" w:cs="楷体"/>
          <w:sz w:val="32"/>
          <w:szCs w:val="32"/>
        </w:rPr>
        <w:t>（四）研究开发的投入及成果</w:t>
      </w:r>
      <w:bookmarkEnd w:id="194"/>
      <w:bookmarkEnd w:id="195"/>
      <w:bookmarkEnd w:id="196"/>
      <w:bookmarkEnd w:id="197"/>
      <w:bookmarkEnd w:id="198"/>
      <w:bookmarkEnd w:id="199"/>
      <w:bookmarkEnd w:id="200"/>
      <w:bookmarkEnd w:id="201"/>
      <w:bookmarkEnd w:id="202"/>
    </w:p>
    <w:p>
      <w:pPr>
        <w:spacing w:line="580" w:lineRule="exact"/>
        <w:ind w:firstLine="600"/>
        <w:jc w:val="left"/>
        <w:rPr>
          <w:rFonts w:ascii="仿宋" w:hAnsi="仿宋" w:eastAsia="仿宋"/>
          <w:sz w:val="32"/>
          <w:szCs w:val="32"/>
        </w:rPr>
      </w:pPr>
      <w:r>
        <w:rPr>
          <w:rFonts w:hint="eastAsia" w:ascii="仿宋" w:hAnsi="仿宋" w:eastAsia="仿宋"/>
          <w:sz w:val="32"/>
          <w:szCs w:val="32"/>
        </w:rPr>
        <w:t>近年来，天风期货研究投入占营业收入比重逐年提高，2020年公司研究投入占营业收入的比重为11.25%，同比增长45.35%。从2017年开始，公司确定了以研究为驱动的发展方针，致力于打造以研究为核心的综合金融服务平台。公司对研究开发进行持续投入，以研究为突破口，增强经纪业务的附加值。公司重视研究体系的搭建，从制定科学严谨的研究框架、到建立全面性和实效性兼备的商品数据库、再到拓展期货分析师专业圈，打造出具有天风特色的产业链研究风格。</w:t>
      </w:r>
    </w:p>
    <w:p>
      <w:pPr>
        <w:spacing w:line="580" w:lineRule="exact"/>
        <w:ind w:firstLine="600"/>
        <w:jc w:val="left"/>
        <w:rPr>
          <w:rFonts w:ascii="仿宋" w:hAnsi="仿宋" w:eastAsia="仿宋"/>
          <w:sz w:val="32"/>
          <w:szCs w:val="32"/>
        </w:rPr>
      </w:pPr>
      <w:r>
        <w:rPr>
          <w:rFonts w:hint="eastAsia" w:ascii="仿宋" w:hAnsi="仿宋" w:eastAsia="仿宋"/>
          <w:sz w:val="32"/>
          <w:szCs w:val="32"/>
        </w:rPr>
        <w:t>天风期货研究所秉承“立足产业，研究驱动”的研究思路，致力于实现“让投资更轻松高效”的长期愿景。自设立以来，研究所的发展持续得到公司的大力支持，目前已发展成为总员工近30人、覆盖40余品种的大型期货研究所。研究所半数以上员工具有硕士学位，核心成员多数来自于央企、国企、知名国际贸易公司、产业机构、资讯机构和投资机构，具有深厚的产业投资研究背景。</w:t>
      </w:r>
    </w:p>
    <w:p>
      <w:pPr>
        <w:spacing w:line="580" w:lineRule="exact"/>
        <w:ind w:firstLine="600"/>
        <w:jc w:val="left"/>
        <w:rPr>
          <w:rFonts w:ascii="仿宋" w:hAnsi="仿宋" w:eastAsia="仿宋"/>
          <w:sz w:val="32"/>
          <w:szCs w:val="32"/>
        </w:rPr>
      </w:pPr>
      <w:r>
        <w:rPr>
          <w:rFonts w:hint="eastAsia" w:ascii="仿宋" w:hAnsi="仿宋" w:eastAsia="仿宋"/>
          <w:sz w:val="32"/>
          <w:szCs w:val="32"/>
        </w:rPr>
        <w:t>公司期货研究紧密围绕期货市场与产业链整体展开，能够为产业链企业提供一手产业资讯及专业研究服务。天风期货将投研工作向全产业链拓展，收集更微观的产业信息，分析产业主要矛盾，提炼产业核心逻辑，并开始为客户提供具有可行性的投资建议。通过不断夯实以投研为核心的综合服务水平，帮助客户更便捷、更有效利用期货工具，在更高水平、更深层次服务经纪业务客户。</w:t>
      </w:r>
    </w:p>
    <w:p>
      <w:pPr>
        <w:spacing w:line="580" w:lineRule="exact"/>
        <w:ind w:firstLine="600"/>
        <w:jc w:val="left"/>
        <w:outlineLvl w:val="1"/>
        <w:rPr>
          <w:rFonts w:ascii="楷体" w:hAnsi="楷体" w:eastAsia="楷体" w:cs="楷体"/>
          <w:sz w:val="32"/>
          <w:szCs w:val="32"/>
        </w:rPr>
      </w:pPr>
      <w:bookmarkStart w:id="203" w:name="_Toc12613"/>
      <w:bookmarkStart w:id="204" w:name="_Toc21761"/>
      <w:bookmarkStart w:id="205" w:name="_Toc31416"/>
      <w:bookmarkStart w:id="206" w:name="_Toc28596"/>
      <w:bookmarkStart w:id="207" w:name="_Toc31741"/>
      <w:bookmarkStart w:id="208" w:name="_Toc28723"/>
      <w:bookmarkStart w:id="209" w:name="_Toc12261"/>
      <w:bookmarkStart w:id="210" w:name="_Toc20610"/>
      <w:bookmarkStart w:id="211" w:name="_Toc24071"/>
      <w:r>
        <w:rPr>
          <w:rFonts w:hint="eastAsia" w:ascii="楷体" w:hAnsi="楷体" w:eastAsia="楷体" w:cs="楷体"/>
          <w:sz w:val="32"/>
          <w:szCs w:val="32"/>
        </w:rPr>
        <w:t>（五）固定资产投资及评估</w:t>
      </w:r>
      <w:bookmarkEnd w:id="203"/>
      <w:bookmarkEnd w:id="204"/>
      <w:bookmarkEnd w:id="205"/>
      <w:bookmarkEnd w:id="206"/>
      <w:bookmarkEnd w:id="207"/>
      <w:bookmarkEnd w:id="208"/>
      <w:bookmarkEnd w:id="209"/>
      <w:bookmarkEnd w:id="210"/>
      <w:bookmarkEnd w:id="211"/>
    </w:p>
    <w:p>
      <w:pPr>
        <w:spacing w:line="580" w:lineRule="exact"/>
        <w:ind w:firstLine="600"/>
        <w:jc w:val="left"/>
        <w:rPr>
          <w:rFonts w:ascii="仿宋" w:hAnsi="仿宋" w:eastAsia="仿宋" w:cs="仿宋"/>
          <w:sz w:val="32"/>
          <w:szCs w:val="32"/>
        </w:rPr>
      </w:pPr>
      <w:bookmarkStart w:id="212" w:name="_Toc24698"/>
      <w:r>
        <w:rPr>
          <w:rFonts w:hint="eastAsia" w:ascii="仿宋" w:hAnsi="仿宋" w:eastAsia="仿宋" w:cs="仿宋"/>
          <w:sz w:val="32"/>
          <w:szCs w:val="32"/>
        </w:rPr>
        <w:t>公司严格遵照《天风期货股份有限公司固定资产管理办法》强化和规范对固定资产的确认、计量、管理与评估，确保固定资产的真实与完整，提高固定资产使用效益，符合节能环保、低碳节约的原则。</w:t>
      </w:r>
      <w:bookmarkEnd w:id="212"/>
    </w:p>
    <w:p>
      <w:pPr>
        <w:spacing w:line="580" w:lineRule="exact"/>
        <w:ind w:firstLine="640" w:firstLineChars="200"/>
        <w:jc w:val="left"/>
        <w:outlineLvl w:val="0"/>
        <w:rPr>
          <w:rFonts w:ascii="黑体" w:hAnsi="黑体" w:eastAsia="黑体" w:cs="黑体"/>
          <w:b w:val="0"/>
          <w:bCs/>
          <w:sz w:val="32"/>
          <w:szCs w:val="32"/>
        </w:rPr>
      </w:pPr>
      <w:bookmarkStart w:id="213" w:name="_Toc17829"/>
      <w:bookmarkStart w:id="214" w:name="_Toc22256"/>
      <w:bookmarkStart w:id="215" w:name="_Toc13822"/>
      <w:bookmarkStart w:id="216" w:name="_Toc19854"/>
      <w:bookmarkStart w:id="217" w:name="_Toc9852"/>
      <w:bookmarkStart w:id="218" w:name="_Toc2119"/>
      <w:bookmarkStart w:id="219" w:name="_Toc8342"/>
      <w:bookmarkStart w:id="220" w:name="_Toc21177"/>
      <w:bookmarkStart w:id="221" w:name="_Toc32352"/>
      <w:bookmarkStart w:id="222" w:name="_Toc29173"/>
      <w:r>
        <w:rPr>
          <w:rFonts w:hint="eastAsia" w:ascii="黑体" w:hAnsi="黑体" w:eastAsia="黑体" w:cs="黑体"/>
          <w:bCs/>
          <w:sz w:val="32"/>
          <w:szCs w:val="32"/>
        </w:rPr>
        <w:t>五、</w:t>
      </w:r>
      <w:r>
        <w:rPr>
          <w:rFonts w:hint="eastAsia" w:ascii="黑体" w:hAnsi="黑体" w:eastAsia="黑体" w:cs="黑体"/>
          <w:b w:val="0"/>
          <w:bCs/>
          <w:sz w:val="32"/>
          <w:szCs w:val="32"/>
        </w:rPr>
        <w:t>社会责任与业绩</w:t>
      </w:r>
      <w:bookmarkEnd w:id="213"/>
      <w:bookmarkEnd w:id="214"/>
      <w:bookmarkEnd w:id="215"/>
      <w:bookmarkEnd w:id="216"/>
      <w:bookmarkEnd w:id="217"/>
      <w:bookmarkEnd w:id="218"/>
      <w:bookmarkEnd w:id="219"/>
      <w:bookmarkEnd w:id="220"/>
      <w:bookmarkEnd w:id="221"/>
      <w:bookmarkEnd w:id="222"/>
    </w:p>
    <w:p>
      <w:pPr>
        <w:spacing w:line="580" w:lineRule="exact"/>
        <w:ind w:firstLine="640" w:firstLineChars="200"/>
        <w:jc w:val="left"/>
        <w:outlineLvl w:val="1"/>
        <w:rPr>
          <w:rFonts w:ascii="楷体" w:hAnsi="楷体" w:eastAsia="楷体" w:cs="楷体"/>
          <w:sz w:val="32"/>
          <w:szCs w:val="32"/>
        </w:rPr>
      </w:pPr>
      <w:bookmarkStart w:id="223" w:name="_Toc12702"/>
      <w:bookmarkStart w:id="224" w:name="_Toc6030"/>
      <w:bookmarkStart w:id="225" w:name="_Toc30499"/>
      <w:bookmarkStart w:id="226" w:name="_Toc6769"/>
      <w:bookmarkStart w:id="227" w:name="_Toc16425"/>
      <w:bookmarkStart w:id="228" w:name="_Toc8767"/>
      <w:bookmarkStart w:id="229" w:name="_Toc27255"/>
      <w:bookmarkStart w:id="230" w:name="_Toc15079"/>
      <w:bookmarkStart w:id="231" w:name="_Toc5301"/>
      <w:bookmarkStart w:id="232" w:name="_Toc24009"/>
      <w:r>
        <w:rPr>
          <w:rFonts w:hint="eastAsia" w:ascii="楷体" w:hAnsi="楷体" w:eastAsia="楷体" w:cs="楷体"/>
          <w:sz w:val="32"/>
          <w:szCs w:val="32"/>
        </w:rPr>
        <w:t>（一）公司社会责任大事记</w:t>
      </w:r>
      <w:bookmarkEnd w:id="223"/>
      <w:bookmarkEnd w:id="224"/>
      <w:bookmarkEnd w:id="225"/>
      <w:bookmarkEnd w:id="226"/>
      <w:bookmarkEnd w:id="227"/>
      <w:bookmarkEnd w:id="228"/>
      <w:bookmarkEnd w:id="229"/>
      <w:bookmarkEnd w:id="230"/>
      <w:bookmarkEnd w:id="231"/>
      <w:bookmarkEnd w:id="232"/>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公司</w:t>
      </w:r>
      <w:r>
        <w:rPr>
          <w:rFonts w:hint="eastAsia" w:ascii="仿宋" w:hAnsi="仿宋" w:eastAsia="仿宋" w:cs="仿宋"/>
          <w:sz w:val="32"/>
          <w:szCs w:val="32"/>
          <w:lang w:val="en-US" w:eastAsia="zh-CN"/>
        </w:rPr>
        <w:t>极其</w:t>
      </w:r>
      <w:r>
        <w:rPr>
          <w:rFonts w:hint="eastAsia" w:ascii="仿宋" w:hAnsi="仿宋" w:eastAsia="仿宋" w:cs="仿宋"/>
          <w:sz w:val="32"/>
          <w:szCs w:val="32"/>
        </w:rPr>
        <w:t>重视</w:t>
      </w:r>
      <w:r>
        <w:rPr>
          <w:rFonts w:hint="eastAsia" w:ascii="仿宋" w:hAnsi="仿宋" w:eastAsia="仿宋" w:cs="仿宋"/>
          <w:sz w:val="32"/>
          <w:szCs w:val="32"/>
          <w:lang w:val="en-US" w:eastAsia="zh-CN"/>
        </w:rPr>
        <w:t>脱贫攻坚工作，积极为扶贫工作贡献自身力量。公司通过</w:t>
      </w:r>
      <w:r>
        <w:rPr>
          <w:rFonts w:hint="eastAsia" w:ascii="仿宋" w:hAnsi="仿宋" w:eastAsia="仿宋" w:cs="仿宋"/>
          <w:sz w:val="32"/>
          <w:szCs w:val="32"/>
        </w:rPr>
        <w:t>成立</w:t>
      </w:r>
      <w:r>
        <w:rPr>
          <w:rFonts w:hint="eastAsia" w:ascii="仿宋" w:hAnsi="仿宋" w:eastAsia="仿宋" w:cs="仿宋"/>
          <w:sz w:val="32"/>
          <w:szCs w:val="32"/>
          <w:lang w:val="en-US" w:eastAsia="zh-CN"/>
        </w:rPr>
        <w:t>专门的社会责任委员会，抽调专人负责全面统筹</w:t>
      </w:r>
      <w:r>
        <w:rPr>
          <w:rFonts w:hint="eastAsia" w:ascii="仿宋" w:hAnsi="仿宋" w:eastAsia="仿宋" w:cs="仿宋"/>
          <w:sz w:val="32"/>
          <w:szCs w:val="32"/>
        </w:rPr>
        <w:t>工作的</w:t>
      </w:r>
      <w:r>
        <w:rPr>
          <w:rFonts w:hint="eastAsia" w:ascii="仿宋" w:hAnsi="仿宋" w:eastAsia="仿宋" w:cs="仿宋"/>
          <w:sz w:val="32"/>
          <w:szCs w:val="32"/>
          <w:lang w:val="en-US" w:eastAsia="zh-CN"/>
        </w:rPr>
        <w:t>开展</w:t>
      </w:r>
      <w:r>
        <w:rPr>
          <w:rFonts w:ascii="仿宋" w:hAnsi="仿宋" w:eastAsia="仿宋" w:cs="仿宋"/>
          <w:sz w:val="32"/>
          <w:szCs w:val="32"/>
        </w:rPr>
        <w:t>。截止2020年</w:t>
      </w:r>
      <w:r>
        <w:rPr>
          <w:rFonts w:hint="eastAsia" w:ascii="仿宋" w:hAnsi="仿宋" w:eastAsia="仿宋" w:cs="仿宋"/>
          <w:sz w:val="32"/>
          <w:szCs w:val="32"/>
          <w:lang w:val="en-US" w:eastAsia="zh-CN"/>
        </w:rPr>
        <w:t>底，公司</w:t>
      </w:r>
      <w:r>
        <w:rPr>
          <w:rFonts w:ascii="仿宋" w:hAnsi="仿宋" w:eastAsia="仿宋" w:cs="仿宋"/>
          <w:sz w:val="32"/>
          <w:szCs w:val="32"/>
        </w:rPr>
        <w:t>与吉林省</w:t>
      </w:r>
      <w:r>
        <w:rPr>
          <w:rFonts w:hint="eastAsia" w:ascii="仿宋" w:hAnsi="仿宋" w:eastAsia="仿宋" w:cs="仿宋"/>
          <w:sz w:val="32"/>
          <w:szCs w:val="32"/>
          <w:lang w:val="en-US" w:eastAsia="zh-CN"/>
        </w:rPr>
        <w:t>的</w:t>
      </w:r>
      <w:r>
        <w:rPr>
          <w:rFonts w:ascii="仿宋" w:hAnsi="仿宋" w:eastAsia="仿宋" w:cs="仿宋"/>
          <w:sz w:val="32"/>
          <w:szCs w:val="32"/>
        </w:rPr>
        <w:t>5个县、安徽省</w:t>
      </w:r>
      <w:r>
        <w:rPr>
          <w:rFonts w:hint="eastAsia" w:ascii="仿宋" w:hAnsi="仿宋" w:eastAsia="仿宋" w:cs="仿宋"/>
          <w:sz w:val="32"/>
          <w:szCs w:val="32"/>
          <w:lang w:val="en-US" w:eastAsia="zh-CN"/>
        </w:rPr>
        <w:t>的</w:t>
      </w:r>
      <w:r>
        <w:rPr>
          <w:rFonts w:ascii="仿宋" w:hAnsi="仿宋" w:eastAsia="仿宋" w:cs="仿宋"/>
          <w:sz w:val="32"/>
          <w:szCs w:val="32"/>
        </w:rPr>
        <w:t>1个县</w:t>
      </w:r>
      <w:r>
        <w:rPr>
          <w:rFonts w:hint="eastAsia" w:ascii="仿宋" w:hAnsi="仿宋" w:eastAsia="仿宋" w:cs="仿宋"/>
          <w:sz w:val="32"/>
          <w:szCs w:val="32"/>
          <w:lang w:val="en-US" w:eastAsia="zh-CN"/>
        </w:rPr>
        <w:t>及</w:t>
      </w:r>
      <w:r>
        <w:rPr>
          <w:rFonts w:ascii="仿宋" w:hAnsi="仿宋" w:eastAsia="仿宋" w:cs="仿宋"/>
          <w:sz w:val="32"/>
          <w:szCs w:val="32"/>
        </w:rPr>
        <w:t>云南省</w:t>
      </w:r>
      <w:r>
        <w:rPr>
          <w:rFonts w:hint="eastAsia" w:ascii="仿宋" w:hAnsi="仿宋" w:eastAsia="仿宋" w:cs="仿宋"/>
          <w:sz w:val="32"/>
          <w:szCs w:val="32"/>
          <w:lang w:val="en-US" w:eastAsia="zh-CN"/>
        </w:rPr>
        <w:t>的</w:t>
      </w:r>
      <w:r>
        <w:rPr>
          <w:rFonts w:ascii="仿宋" w:hAnsi="仿宋" w:eastAsia="仿宋" w:cs="仿宋"/>
          <w:sz w:val="32"/>
          <w:szCs w:val="32"/>
        </w:rPr>
        <w:t>3个县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共计</w:t>
      </w:r>
      <w:r>
        <w:rPr>
          <w:rFonts w:ascii="仿宋" w:hAnsi="仿宋" w:eastAsia="仿宋" w:cs="仿宋"/>
          <w:sz w:val="32"/>
          <w:szCs w:val="32"/>
        </w:rPr>
        <w:t>9个国家级贫困县达成了结对帮扶关系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累计</w:t>
      </w:r>
      <w:r>
        <w:rPr>
          <w:rFonts w:ascii="仿宋" w:hAnsi="仿宋" w:eastAsia="仿宋" w:cs="仿宋"/>
          <w:sz w:val="32"/>
          <w:szCs w:val="32"/>
        </w:rPr>
        <w:t>协助79户143人实现脱贫。</w:t>
      </w:r>
    </w:p>
    <w:p>
      <w:pPr>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公司</w:t>
      </w:r>
      <w:r>
        <w:rPr>
          <w:rFonts w:hint="eastAsia" w:ascii="仿宋" w:hAnsi="仿宋" w:eastAsia="仿宋" w:cs="仿宋"/>
          <w:sz w:val="32"/>
          <w:szCs w:val="32"/>
        </w:rPr>
        <w:t>积极履行社会责任，从消费扶贫、捐赠扶贫、教育扶贫、保险加期货等方面持续开展“一对多”结对帮扶，助力脱贫事业。</w:t>
      </w:r>
      <w:r>
        <w:rPr>
          <w:rFonts w:hint="eastAsia" w:ascii="仿宋" w:hAnsi="仿宋" w:eastAsia="仿宋" w:cs="仿宋"/>
          <w:sz w:val="32"/>
          <w:szCs w:val="32"/>
          <w:lang w:val="en-US" w:eastAsia="zh-CN"/>
        </w:rPr>
        <w:t>公司</w:t>
      </w:r>
      <w:r>
        <w:rPr>
          <w:rFonts w:ascii="仿宋" w:hAnsi="仿宋" w:eastAsia="仿宋" w:cs="仿宋"/>
          <w:sz w:val="32"/>
          <w:szCs w:val="32"/>
        </w:rPr>
        <w:t>向安徽省、吉林省的对口帮扶贫困地区捐助价值5万元的抗疫物质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助力防疫工作，共度时艰</w:t>
      </w:r>
      <w:r>
        <w:rPr>
          <w:rFonts w:hint="eastAsia" w:ascii="仿宋" w:hAnsi="仿宋" w:eastAsia="仿宋" w:cs="仿宋"/>
          <w:sz w:val="32"/>
          <w:szCs w:val="32"/>
          <w:lang w:eastAsia="zh-CN"/>
        </w:rPr>
        <w:t>；</w:t>
      </w:r>
      <w:r>
        <w:rPr>
          <w:rFonts w:hint="eastAsia" w:ascii="仿宋" w:hAnsi="仿宋" w:eastAsia="仿宋" w:cs="仿宋"/>
          <w:sz w:val="32"/>
          <w:szCs w:val="32"/>
        </w:rPr>
        <w:t>通过采购9个国家级贫困县的扶贫产品，</w:t>
      </w:r>
      <w:r>
        <w:rPr>
          <w:rFonts w:hint="eastAsia" w:ascii="仿宋" w:hAnsi="仿宋" w:eastAsia="仿宋" w:cs="仿宋"/>
          <w:sz w:val="32"/>
          <w:szCs w:val="32"/>
          <w:lang w:val="en-US" w:eastAsia="zh-CN"/>
        </w:rPr>
        <w:t>直接</w:t>
      </w:r>
      <w:r>
        <w:rPr>
          <w:rFonts w:hint="eastAsia" w:ascii="仿宋" w:hAnsi="仿宋" w:eastAsia="仿宋" w:cs="仿宋"/>
          <w:sz w:val="32"/>
          <w:szCs w:val="32"/>
        </w:rPr>
        <w:t>推动消费扶贫；直接向贫困县捐赠总价值达</w:t>
      </w:r>
      <w:r>
        <w:rPr>
          <w:rFonts w:hint="eastAsia" w:ascii="仿宋" w:hAnsi="仿宋" w:eastAsia="仿宋" w:cs="仿宋"/>
          <w:sz w:val="32"/>
          <w:szCs w:val="32"/>
          <w:lang w:val="en-US" w:eastAsia="zh-CN"/>
        </w:rPr>
        <w:t>103.2</w:t>
      </w:r>
      <w:r>
        <w:rPr>
          <w:rFonts w:hint="eastAsia" w:ascii="仿宋" w:hAnsi="仿宋" w:eastAsia="仿宋" w:cs="仿宋"/>
          <w:sz w:val="32"/>
          <w:szCs w:val="32"/>
        </w:rPr>
        <w:t>万元的药品，帮助解决贫困地区因病致贫的问题；利用期货市场为太湖县的企业景湖农业进行了</w:t>
      </w:r>
      <w:r>
        <w:rPr>
          <w:rFonts w:hint="eastAsia" w:ascii="仿宋" w:hAnsi="仿宋" w:eastAsia="仿宋" w:cs="仿宋"/>
          <w:sz w:val="32"/>
          <w:szCs w:val="32"/>
          <w:lang w:val="en-US" w:eastAsia="zh-CN"/>
        </w:rPr>
        <w:t>3</w:t>
      </w:r>
      <w:r>
        <w:rPr>
          <w:rFonts w:hint="eastAsia" w:ascii="仿宋" w:hAnsi="仿宋" w:eastAsia="仿宋" w:cs="仿宋"/>
          <w:sz w:val="32"/>
          <w:szCs w:val="32"/>
        </w:rPr>
        <w:t>次鸡蛋保价业务，不仅保障了企业的收益，还</w:t>
      </w:r>
      <w:r>
        <w:rPr>
          <w:rFonts w:hint="eastAsia" w:ascii="仿宋" w:hAnsi="仿宋" w:eastAsia="仿宋" w:cs="仿宋"/>
          <w:sz w:val="32"/>
          <w:szCs w:val="32"/>
          <w:lang w:val="en-US" w:eastAsia="zh-CN"/>
        </w:rPr>
        <w:t>普及</w:t>
      </w:r>
      <w:r>
        <w:rPr>
          <w:rFonts w:hint="eastAsia" w:ascii="仿宋" w:hAnsi="仿宋" w:eastAsia="仿宋" w:cs="仿宋"/>
          <w:sz w:val="32"/>
          <w:szCs w:val="32"/>
        </w:rPr>
        <w:t>了使用期货市场工具管理企业风险的知识；响应国家号召在多个贫困县开展共计4次保险加期货业务，发挥期货公司专长实现造血式扶贫，保护贫困农户的收益。</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此外，公司</w:t>
      </w:r>
      <w:r>
        <w:rPr>
          <w:rFonts w:ascii="仿宋" w:hAnsi="仿宋" w:eastAsia="仿宋" w:cs="仿宋"/>
          <w:sz w:val="32"/>
          <w:szCs w:val="32"/>
        </w:rPr>
        <w:t>向</w:t>
      </w:r>
      <w:r>
        <w:rPr>
          <w:rFonts w:hint="eastAsia" w:ascii="仿宋" w:hAnsi="仿宋" w:eastAsia="仿宋" w:cs="仿宋"/>
          <w:sz w:val="32"/>
          <w:szCs w:val="32"/>
          <w:lang w:val="en-US" w:eastAsia="zh-CN"/>
        </w:rPr>
        <w:t>贫困</w:t>
      </w:r>
      <w:r>
        <w:rPr>
          <w:rFonts w:ascii="仿宋" w:hAnsi="仿宋" w:eastAsia="仿宋" w:cs="仿宋"/>
          <w:sz w:val="32"/>
          <w:szCs w:val="32"/>
        </w:rPr>
        <w:t>村集体养殖项目直接捐助资金2万元，帮助村办鸵鸟养殖场</w:t>
      </w:r>
      <w:r>
        <w:rPr>
          <w:rFonts w:hint="eastAsia" w:ascii="仿宋" w:hAnsi="仿宋" w:eastAsia="仿宋" w:cs="仿宋"/>
          <w:sz w:val="32"/>
          <w:szCs w:val="32"/>
          <w:lang w:val="en-US" w:eastAsia="zh-CN"/>
        </w:rPr>
        <w:t>摆脱</w:t>
      </w:r>
      <w:r>
        <w:rPr>
          <w:rFonts w:ascii="仿宋" w:hAnsi="仿宋" w:eastAsia="仿宋" w:cs="仿宋"/>
          <w:sz w:val="32"/>
          <w:szCs w:val="32"/>
        </w:rPr>
        <w:t>资金不足的困境</w:t>
      </w:r>
      <w:r>
        <w:rPr>
          <w:rFonts w:hint="eastAsia" w:ascii="仿宋" w:hAnsi="仿宋" w:eastAsia="仿宋" w:cs="仿宋"/>
          <w:sz w:val="32"/>
          <w:szCs w:val="32"/>
          <w:lang w:eastAsia="zh-CN"/>
        </w:rPr>
        <w:t>；</w:t>
      </w:r>
      <w:r>
        <w:rPr>
          <w:rFonts w:ascii="仿宋" w:hAnsi="仿宋" w:eastAsia="仿宋" w:cs="仿宋"/>
          <w:sz w:val="32"/>
          <w:szCs w:val="32"/>
        </w:rPr>
        <w:t>招收6名</w:t>
      </w:r>
      <w:r>
        <w:rPr>
          <w:rFonts w:hint="eastAsia" w:ascii="仿宋" w:hAnsi="仿宋" w:eastAsia="仿宋" w:cs="仿宋"/>
          <w:sz w:val="32"/>
          <w:szCs w:val="32"/>
          <w:lang w:val="en-US" w:eastAsia="zh-CN"/>
        </w:rPr>
        <w:t>贫困地区</w:t>
      </w:r>
      <w:r>
        <w:rPr>
          <w:rFonts w:ascii="仿宋" w:hAnsi="仿宋" w:eastAsia="仿宋" w:cs="仿宋"/>
          <w:sz w:val="32"/>
          <w:szCs w:val="32"/>
        </w:rPr>
        <w:t>应届大学毕业生入司工作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为贫困地区大学生提供工作机会</w:t>
      </w:r>
      <w:r>
        <w:rPr>
          <w:rFonts w:ascii="仿宋" w:hAnsi="仿宋" w:eastAsia="仿宋" w:cs="仿宋"/>
          <w:sz w:val="32"/>
          <w:szCs w:val="32"/>
        </w:rPr>
        <w:t>。</w:t>
      </w:r>
    </w:p>
    <w:p>
      <w:pPr>
        <w:spacing w:line="580" w:lineRule="exact"/>
        <w:ind w:firstLine="640" w:firstLineChars="200"/>
        <w:jc w:val="left"/>
        <w:outlineLvl w:val="1"/>
        <w:rPr>
          <w:rFonts w:ascii="楷体" w:hAnsi="楷体" w:eastAsia="楷体" w:cs="楷体"/>
          <w:sz w:val="32"/>
          <w:szCs w:val="32"/>
        </w:rPr>
      </w:pPr>
      <w:bookmarkStart w:id="233" w:name="_Toc32755"/>
      <w:bookmarkStart w:id="234" w:name="_Toc4887"/>
      <w:bookmarkStart w:id="235" w:name="_Toc24786"/>
      <w:bookmarkStart w:id="236" w:name="_Toc27625"/>
      <w:bookmarkStart w:id="237" w:name="_Toc19199"/>
      <w:bookmarkStart w:id="238" w:name="_Toc1414"/>
      <w:bookmarkStart w:id="239" w:name="_Toc11928"/>
      <w:bookmarkStart w:id="240" w:name="_Toc2018"/>
      <w:bookmarkStart w:id="241" w:name="_Toc25422"/>
      <w:bookmarkStart w:id="242" w:name="_Toc17146"/>
      <w:r>
        <w:rPr>
          <w:rFonts w:hint="eastAsia" w:ascii="楷体" w:hAnsi="楷体" w:eastAsia="楷体" w:cs="楷体"/>
          <w:sz w:val="32"/>
          <w:szCs w:val="32"/>
        </w:rPr>
        <w:t>（二）员工管理与合理的工作</w:t>
      </w:r>
      <w:bookmarkEnd w:id="233"/>
      <w:bookmarkEnd w:id="234"/>
      <w:bookmarkEnd w:id="235"/>
      <w:bookmarkEnd w:id="236"/>
      <w:bookmarkEnd w:id="237"/>
      <w:bookmarkEnd w:id="238"/>
      <w:bookmarkEnd w:id="239"/>
      <w:bookmarkEnd w:id="240"/>
      <w:bookmarkEnd w:id="241"/>
      <w:bookmarkEnd w:id="242"/>
    </w:p>
    <w:p>
      <w:pPr>
        <w:spacing w:line="580" w:lineRule="exact"/>
        <w:ind w:firstLine="640" w:firstLineChars="200"/>
        <w:jc w:val="left"/>
        <w:outlineLvl w:val="2"/>
        <w:rPr>
          <w:rFonts w:ascii="楷体" w:hAnsi="楷体" w:eastAsia="楷体" w:cs="楷体"/>
          <w:sz w:val="32"/>
          <w:szCs w:val="32"/>
        </w:rPr>
      </w:pPr>
      <w:r>
        <w:rPr>
          <w:rFonts w:ascii="楷体" w:hAnsi="楷体" w:eastAsia="楷体" w:cs="楷体"/>
          <w:sz w:val="32"/>
          <w:szCs w:val="32"/>
        </w:rPr>
        <w:t>1</w:t>
      </w:r>
      <w:r>
        <w:rPr>
          <w:rFonts w:hint="eastAsia" w:ascii="楷体" w:hAnsi="楷体" w:eastAsia="楷体" w:cs="楷体"/>
          <w:sz w:val="32"/>
          <w:szCs w:val="32"/>
        </w:rPr>
        <w:t>、关于员工的基本理念</w:t>
      </w:r>
    </w:p>
    <w:p>
      <w:pPr>
        <w:ind w:firstLine="600"/>
        <w:jc w:val="left"/>
        <w:rPr>
          <w:rFonts w:ascii="仿宋" w:hAnsi="仿宋" w:eastAsia="仿宋"/>
          <w:sz w:val="32"/>
          <w:szCs w:val="32"/>
        </w:rPr>
      </w:pPr>
      <w:r>
        <w:rPr>
          <w:rFonts w:hint="eastAsia" w:ascii="仿宋" w:hAnsi="仿宋" w:eastAsia="仿宋"/>
          <w:sz w:val="32"/>
          <w:szCs w:val="32"/>
          <w:lang w:val="en-US" w:eastAsia="zh-CN"/>
        </w:rPr>
        <w:t>天风期货</w:t>
      </w:r>
      <w:r>
        <w:rPr>
          <w:rFonts w:hint="eastAsia" w:ascii="仿宋" w:hAnsi="仿宋" w:eastAsia="仿宋"/>
          <w:sz w:val="32"/>
          <w:szCs w:val="32"/>
        </w:rPr>
        <w:t>本着对员工职业生涯负责的态度，致力于打造完善的人力资源体系，以事业吸引人才、以创新的机制优化人才结构、以良好环境和待遇激励人才、以优秀的企业文化熏陶人才，重视员工的兴趣和专长</w:t>
      </w:r>
      <w:r>
        <w:rPr>
          <w:rFonts w:hint="eastAsia" w:ascii="仿宋" w:hAnsi="仿宋" w:eastAsia="仿宋"/>
          <w:sz w:val="32"/>
          <w:szCs w:val="32"/>
          <w:lang w:val="en-US" w:eastAsia="zh-CN"/>
        </w:rPr>
        <w:t>培养</w:t>
      </w:r>
      <w:r>
        <w:rPr>
          <w:rFonts w:hint="eastAsia" w:ascii="仿宋" w:hAnsi="仿宋" w:eastAsia="仿宋"/>
          <w:sz w:val="32"/>
          <w:szCs w:val="32"/>
        </w:rPr>
        <w:t>，维护员工的合法权益，确保员工的安全健康，促进员工</w:t>
      </w:r>
      <w:r>
        <w:rPr>
          <w:rFonts w:hint="eastAsia" w:ascii="仿宋" w:hAnsi="仿宋" w:eastAsia="仿宋"/>
          <w:sz w:val="32"/>
          <w:szCs w:val="32"/>
          <w:lang w:val="en-US" w:eastAsia="zh-CN"/>
        </w:rPr>
        <w:t>工作</w:t>
      </w:r>
      <w:r>
        <w:rPr>
          <w:rFonts w:hint="eastAsia" w:ascii="仿宋" w:hAnsi="仿宋" w:eastAsia="仿宋"/>
          <w:sz w:val="32"/>
          <w:szCs w:val="32"/>
        </w:rPr>
        <w:t>满意度</w:t>
      </w:r>
      <w:r>
        <w:rPr>
          <w:rFonts w:hint="eastAsia" w:ascii="仿宋" w:hAnsi="仿宋" w:eastAsia="仿宋"/>
          <w:sz w:val="32"/>
          <w:szCs w:val="32"/>
          <w:lang w:val="en-US" w:eastAsia="zh-CN"/>
        </w:rPr>
        <w:t>与成就感</w:t>
      </w:r>
      <w:r>
        <w:rPr>
          <w:rFonts w:hint="eastAsia" w:ascii="仿宋" w:hAnsi="仿宋" w:eastAsia="仿宋"/>
          <w:sz w:val="32"/>
          <w:szCs w:val="32"/>
        </w:rPr>
        <w:t>的不断提高，追求员工与公司共同成长是我们努力的方向。</w:t>
      </w:r>
    </w:p>
    <w:p>
      <w:pPr>
        <w:spacing w:line="580" w:lineRule="exact"/>
        <w:ind w:firstLine="640" w:firstLineChars="200"/>
        <w:jc w:val="left"/>
        <w:outlineLvl w:val="2"/>
        <w:rPr>
          <w:rFonts w:ascii="楷体" w:hAnsi="楷体" w:eastAsia="楷体" w:cs="楷体"/>
          <w:sz w:val="32"/>
          <w:szCs w:val="32"/>
        </w:rPr>
      </w:pPr>
      <w:r>
        <w:rPr>
          <w:rFonts w:ascii="楷体" w:hAnsi="楷体" w:eastAsia="楷体" w:cs="楷体"/>
          <w:sz w:val="32"/>
          <w:szCs w:val="32"/>
        </w:rPr>
        <w:t>2</w:t>
      </w:r>
      <w:r>
        <w:rPr>
          <w:rFonts w:hint="eastAsia" w:ascii="楷体" w:hAnsi="楷体" w:eastAsia="楷体" w:cs="楷体"/>
          <w:sz w:val="32"/>
          <w:szCs w:val="32"/>
        </w:rPr>
        <w:t>、员工数量、结构与流动比例</w:t>
      </w:r>
    </w:p>
    <w:p>
      <w:pPr>
        <w:ind w:firstLine="600"/>
        <w:jc w:val="left"/>
        <w:rPr>
          <w:rFonts w:ascii="仿宋" w:hAnsi="仿宋" w:eastAsia="仿宋"/>
          <w:sz w:val="32"/>
          <w:szCs w:val="32"/>
        </w:rPr>
      </w:pPr>
      <w:r>
        <w:rPr>
          <w:rFonts w:hint="eastAsia" w:ascii="仿宋" w:hAnsi="仿宋" w:eastAsia="仿宋"/>
          <w:sz w:val="32"/>
          <w:szCs w:val="32"/>
          <w:lang w:val="en-US" w:eastAsia="zh-CN"/>
        </w:rPr>
        <w:t>公</w:t>
      </w:r>
      <w:r>
        <w:rPr>
          <w:rFonts w:hint="eastAsia" w:ascii="仿宋" w:hAnsi="仿宋" w:eastAsia="仿宋"/>
          <w:sz w:val="32"/>
          <w:szCs w:val="32"/>
        </w:rPr>
        <w:t>司严格遵守《劳动合同法》等相关法律法规，坚持合法雇佣员工，保障员工各项合法权益，努力为员工提供有竞争力的薪酬福利，激励员工的价值奉献。</w:t>
      </w:r>
      <w:r>
        <w:rPr>
          <w:rFonts w:hint="eastAsia" w:ascii="仿宋" w:hAnsi="仿宋" w:eastAsia="仿宋"/>
          <w:sz w:val="32"/>
          <w:szCs w:val="32"/>
          <w:lang w:val="en-US" w:eastAsia="zh-CN"/>
        </w:rPr>
        <w:t>公</w:t>
      </w:r>
      <w:r>
        <w:rPr>
          <w:rFonts w:hint="eastAsia" w:ascii="仿宋" w:hAnsi="仿宋" w:eastAsia="仿宋"/>
          <w:sz w:val="32"/>
          <w:szCs w:val="32"/>
        </w:rPr>
        <w:t>司始终坚持公平、公正的用工原则，依据岗位要求招聘使用员工，不因年龄、性别、婚姻状况、种族等差异区别对待。</w:t>
      </w:r>
    </w:p>
    <w:p>
      <w:pPr>
        <w:ind w:firstLine="600"/>
        <w:jc w:val="left"/>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2020年底，天风期货及全资控股子公司在岗员工总数214人</w:t>
      </w:r>
      <w:r>
        <w:rPr>
          <w:rFonts w:hint="eastAsia" w:ascii="仿宋" w:hAnsi="仿宋" w:eastAsia="仿宋"/>
          <w:sz w:val="32"/>
          <w:szCs w:val="32"/>
          <w:lang w:eastAsia="zh-CN"/>
        </w:rPr>
        <w:t>，</w:t>
      </w:r>
      <w:r>
        <w:rPr>
          <w:rFonts w:hint="eastAsia" w:ascii="仿宋" w:hAnsi="仿宋" w:eastAsia="仿宋"/>
          <w:sz w:val="32"/>
          <w:szCs w:val="32"/>
          <w:lang w:val="en-US" w:eastAsia="zh-CN"/>
        </w:rPr>
        <w:t>其中硕士及以上学历63人，占比29.44%；本科及以上学历192人，占比89.72%；本科及以下学历22人，占比10.28%</w:t>
      </w:r>
      <w:r>
        <w:rPr>
          <w:rFonts w:ascii="仿宋" w:hAnsi="仿宋" w:eastAsia="仿宋"/>
          <w:sz w:val="32"/>
          <w:szCs w:val="32"/>
        </w:rPr>
        <w:t>。</w:t>
      </w:r>
      <w:r>
        <w:rPr>
          <w:rFonts w:hint="eastAsia" w:ascii="仿宋" w:hAnsi="仿宋" w:eastAsia="仿宋"/>
          <w:sz w:val="32"/>
          <w:szCs w:val="32"/>
          <w:lang w:val="en-US" w:eastAsia="zh-CN"/>
        </w:rPr>
        <w:t>公</w:t>
      </w:r>
      <w:r>
        <w:rPr>
          <w:rFonts w:ascii="仿宋" w:hAnsi="仿宋" w:eastAsia="仿宋"/>
          <w:sz w:val="32"/>
          <w:szCs w:val="32"/>
        </w:rPr>
        <w:t>司要求各分支机构严格执行所在地区劳动用工的法律、法规、规章和政策要求，依法依规与员工签订劳动合同。</w:t>
      </w:r>
    </w:p>
    <w:p>
      <w:pPr>
        <w:ind w:firstLine="600"/>
        <w:jc w:val="left"/>
        <w:rPr>
          <w:rFonts w:ascii="仿宋" w:hAnsi="仿宋" w:eastAsia="仿宋"/>
          <w:sz w:val="32"/>
          <w:szCs w:val="32"/>
        </w:rPr>
      </w:pPr>
      <w:r>
        <w:rPr>
          <w:rFonts w:hint="eastAsia" w:ascii="仿宋" w:hAnsi="仿宋" w:eastAsia="仿宋"/>
          <w:sz w:val="32"/>
          <w:szCs w:val="32"/>
          <w:lang w:val="en-US" w:eastAsia="zh-CN"/>
        </w:rPr>
        <w:t>公</w:t>
      </w:r>
      <w:r>
        <w:rPr>
          <w:rFonts w:hint="eastAsia" w:ascii="仿宋" w:hAnsi="仿宋" w:eastAsia="仿宋"/>
          <w:sz w:val="32"/>
          <w:szCs w:val="32"/>
        </w:rPr>
        <w:t>司坚持人才强企战略，不断加强人才培养力度，为员工开展多元化、系统化的培训，帮助员工实现个人的成长和价值，通过组织员工线上培训和线下学习的方式，全面的覆盖培训需求。</w:t>
      </w:r>
      <w:r>
        <w:rPr>
          <w:rFonts w:hint="eastAsia" w:ascii="仿宋" w:hAnsi="仿宋" w:eastAsia="仿宋"/>
          <w:sz w:val="32"/>
          <w:szCs w:val="32"/>
          <w:lang w:val="en-US" w:eastAsia="zh-CN"/>
        </w:rPr>
        <w:t>公</w:t>
      </w:r>
      <w:r>
        <w:rPr>
          <w:rFonts w:hint="eastAsia" w:ascii="仿宋" w:hAnsi="仿宋" w:eastAsia="仿宋"/>
          <w:sz w:val="32"/>
          <w:szCs w:val="32"/>
        </w:rPr>
        <w:t>司鼓励员工进行自我提升，并给予充分的支持与奖励。</w:t>
      </w:r>
    </w:p>
    <w:p>
      <w:pPr>
        <w:spacing w:line="580" w:lineRule="exact"/>
        <w:ind w:firstLine="640" w:firstLineChars="200"/>
        <w:jc w:val="left"/>
        <w:outlineLvl w:val="2"/>
        <w:rPr>
          <w:rFonts w:ascii="楷体" w:hAnsi="楷体" w:eastAsia="楷体" w:cs="楷体"/>
          <w:sz w:val="32"/>
          <w:szCs w:val="32"/>
        </w:rPr>
      </w:pPr>
      <w:r>
        <w:rPr>
          <w:rFonts w:ascii="楷体" w:hAnsi="楷体" w:eastAsia="楷体" w:cs="楷体"/>
          <w:sz w:val="32"/>
          <w:szCs w:val="32"/>
        </w:rPr>
        <w:t>3</w:t>
      </w:r>
      <w:r>
        <w:rPr>
          <w:rFonts w:hint="eastAsia" w:ascii="楷体" w:hAnsi="楷体" w:eastAsia="楷体" w:cs="楷体"/>
          <w:sz w:val="32"/>
          <w:szCs w:val="32"/>
        </w:rPr>
        <w:t>、员工与管理层关系</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员工与管理层之间构建起高效、畅通、人性化的沟通交流机制与渠道，管理层能够做到严于律己，关心爱护下属，有效构建员工沟通渠道，搭建合理的晋升平台。员工能够深入地了解公司的文化，互帮互助，遇到问题也能及时向管理层反映并得到可靠的帮助。</w:t>
      </w:r>
    </w:p>
    <w:p>
      <w:pPr>
        <w:spacing w:line="580" w:lineRule="exact"/>
        <w:ind w:firstLine="640" w:firstLineChars="200"/>
        <w:jc w:val="left"/>
        <w:outlineLvl w:val="2"/>
        <w:rPr>
          <w:rFonts w:ascii="楷体" w:hAnsi="楷体" w:eastAsia="楷体" w:cs="楷体"/>
          <w:sz w:val="32"/>
          <w:szCs w:val="32"/>
        </w:rPr>
      </w:pPr>
      <w:r>
        <w:rPr>
          <w:rFonts w:ascii="楷体" w:hAnsi="楷体" w:eastAsia="楷体" w:cs="楷体"/>
          <w:sz w:val="32"/>
          <w:szCs w:val="32"/>
        </w:rPr>
        <w:t>4</w:t>
      </w:r>
      <w:r>
        <w:rPr>
          <w:rFonts w:hint="eastAsia" w:ascii="楷体" w:hAnsi="楷体" w:eastAsia="楷体" w:cs="楷体"/>
          <w:sz w:val="32"/>
          <w:szCs w:val="32"/>
        </w:rPr>
        <w:t>、职业健康与安全</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公</w:t>
      </w:r>
      <w:r>
        <w:rPr>
          <w:rFonts w:hint="eastAsia" w:ascii="仿宋" w:hAnsi="仿宋" w:eastAsia="仿宋" w:cs="仿宋"/>
          <w:sz w:val="32"/>
          <w:szCs w:val="32"/>
        </w:rPr>
        <w:t>司关注每一位员工的幸福，从生活、情感和成长等环节关爱和善待员工，倡导积极向上、绿色健康的生活方式，引导员工追求美好生活情趣。</w:t>
      </w:r>
      <w:r>
        <w:rPr>
          <w:rFonts w:hint="eastAsia" w:ascii="仿宋" w:hAnsi="仿宋" w:eastAsia="仿宋" w:cs="仿宋"/>
          <w:sz w:val="32"/>
          <w:szCs w:val="32"/>
          <w:lang w:val="en-US" w:eastAsia="zh-CN"/>
        </w:rPr>
        <w:t>公</w:t>
      </w:r>
      <w:r>
        <w:rPr>
          <w:rFonts w:hint="eastAsia" w:ascii="仿宋" w:hAnsi="仿宋" w:eastAsia="仿宋" w:cs="仿宋"/>
          <w:sz w:val="32"/>
          <w:szCs w:val="32"/>
        </w:rPr>
        <w:t>司为了加强职业健康管理，努力为员工提供一个舒适健康的工作环境；同时</w:t>
      </w:r>
      <w:r>
        <w:rPr>
          <w:rFonts w:hint="eastAsia" w:ascii="仿宋" w:hAnsi="仿宋" w:eastAsia="仿宋" w:cs="仿宋"/>
          <w:sz w:val="32"/>
          <w:szCs w:val="32"/>
          <w:lang w:val="en-US" w:eastAsia="zh-CN"/>
        </w:rPr>
        <w:t>公</w:t>
      </w:r>
      <w:r>
        <w:rPr>
          <w:rFonts w:hint="eastAsia" w:ascii="仿宋" w:hAnsi="仿宋" w:eastAsia="仿宋" w:cs="仿宋"/>
          <w:sz w:val="32"/>
          <w:szCs w:val="32"/>
        </w:rPr>
        <w:t>司为员工购买商业保险，以及每年定期进行专业、全面的健康体检作为员工福利，为全体员工的健康保驾护航。</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另外，</w:t>
      </w:r>
      <w:r>
        <w:rPr>
          <w:rFonts w:hint="eastAsia" w:ascii="仿宋" w:hAnsi="仿宋" w:eastAsia="仿宋" w:cs="仿宋"/>
          <w:sz w:val="32"/>
          <w:szCs w:val="32"/>
          <w:lang w:val="en-US" w:eastAsia="zh-CN"/>
        </w:rPr>
        <w:t>公</w:t>
      </w:r>
      <w:r>
        <w:rPr>
          <w:rFonts w:hint="eastAsia" w:ascii="仿宋" w:hAnsi="仿宋" w:eastAsia="仿宋" w:cs="仿宋"/>
          <w:sz w:val="32"/>
          <w:szCs w:val="32"/>
        </w:rPr>
        <w:t>司组织开展了丰富多彩的文体活动，充实员工业余生活，增强员工的归属感和凝聚力；</w:t>
      </w:r>
      <w:r>
        <w:rPr>
          <w:rFonts w:hint="eastAsia" w:ascii="仿宋" w:hAnsi="仿宋" w:eastAsia="仿宋" w:cs="仿宋"/>
          <w:sz w:val="32"/>
          <w:szCs w:val="32"/>
          <w:lang w:val="en-US" w:eastAsia="zh-CN"/>
        </w:rPr>
        <w:t>此外</w:t>
      </w:r>
      <w:r>
        <w:rPr>
          <w:rFonts w:hint="eastAsia" w:ascii="仿宋" w:hAnsi="仿宋" w:eastAsia="仿宋" w:cs="仿宋"/>
          <w:sz w:val="32"/>
          <w:szCs w:val="32"/>
        </w:rPr>
        <w:t>，公司还组织消防、地震等突发事件的应急演练</w:t>
      </w:r>
      <w:r>
        <w:rPr>
          <w:rFonts w:hint="eastAsia" w:ascii="仿宋" w:hAnsi="仿宋" w:eastAsia="仿宋" w:cs="仿宋"/>
          <w:sz w:val="32"/>
          <w:szCs w:val="32"/>
          <w:lang w:eastAsia="zh-CN"/>
        </w:rPr>
        <w:t>，</w:t>
      </w:r>
      <w:r>
        <w:rPr>
          <w:rFonts w:hint="eastAsia" w:ascii="仿宋" w:hAnsi="仿宋" w:eastAsia="仿宋" w:cs="仿宋"/>
          <w:sz w:val="32"/>
          <w:szCs w:val="32"/>
        </w:rPr>
        <w:t>提高员工们的安全意识。</w:t>
      </w:r>
    </w:p>
    <w:p>
      <w:pPr>
        <w:spacing w:line="580" w:lineRule="exact"/>
        <w:ind w:firstLine="640" w:firstLineChars="200"/>
        <w:jc w:val="left"/>
        <w:outlineLvl w:val="2"/>
        <w:rPr>
          <w:rFonts w:ascii="楷体" w:hAnsi="楷体" w:eastAsia="楷体" w:cs="楷体"/>
          <w:sz w:val="32"/>
          <w:szCs w:val="32"/>
        </w:rPr>
      </w:pPr>
      <w:r>
        <w:rPr>
          <w:rFonts w:ascii="楷体" w:hAnsi="楷体" w:eastAsia="楷体" w:cs="楷体"/>
          <w:sz w:val="32"/>
          <w:szCs w:val="32"/>
        </w:rPr>
        <w:t>5</w:t>
      </w:r>
      <w:r>
        <w:rPr>
          <w:rFonts w:hint="eastAsia" w:ascii="楷体" w:hAnsi="楷体" w:eastAsia="楷体" w:cs="楷体"/>
          <w:sz w:val="32"/>
          <w:szCs w:val="32"/>
        </w:rPr>
        <w:t>、员工的福利与社会保障</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公</w:t>
      </w:r>
      <w:r>
        <w:rPr>
          <w:rFonts w:hint="eastAsia" w:ascii="仿宋" w:hAnsi="仿宋" w:eastAsia="仿宋" w:cs="仿宋"/>
          <w:sz w:val="32"/>
          <w:szCs w:val="32"/>
        </w:rPr>
        <w:t>司充分保障员工利益，定期组织集体活动，促进员工之间相互交流、互动。除按照国家规定为每位员工缴纳社会保险、公积金外，公司每年会为员工缴纳补充公积金和购买团体商业险。</w:t>
      </w:r>
    </w:p>
    <w:p>
      <w:pPr>
        <w:spacing w:line="580" w:lineRule="exact"/>
        <w:ind w:firstLine="640" w:firstLineChars="200"/>
        <w:jc w:val="left"/>
        <w:outlineLvl w:val="2"/>
        <w:rPr>
          <w:rFonts w:ascii="楷体" w:hAnsi="楷体" w:eastAsia="楷体" w:cs="楷体"/>
          <w:sz w:val="32"/>
          <w:szCs w:val="32"/>
        </w:rPr>
      </w:pPr>
      <w:r>
        <w:rPr>
          <w:rFonts w:ascii="楷体" w:hAnsi="楷体" w:eastAsia="楷体" w:cs="楷体"/>
          <w:sz w:val="32"/>
          <w:szCs w:val="32"/>
        </w:rPr>
        <w:t>6</w:t>
      </w:r>
      <w:r>
        <w:rPr>
          <w:rFonts w:hint="eastAsia" w:ascii="楷体" w:hAnsi="楷体" w:eastAsia="楷体" w:cs="楷体"/>
          <w:sz w:val="32"/>
          <w:szCs w:val="32"/>
        </w:rPr>
        <w:t>、培训与教育</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结合公司战略发展和员工个人成长需要组织开展丰富多样的培训与教育活动。组织多场内部专业培训，员工参训214人次。同时，公司也鼓励员工利用业余时间参加高校、专业机构组织的各类培训，积极营造读书学习氛围。</w:t>
      </w:r>
    </w:p>
    <w:p>
      <w:pPr>
        <w:spacing w:line="580" w:lineRule="exact"/>
        <w:ind w:firstLine="640" w:firstLineChars="200"/>
        <w:jc w:val="left"/>
        <w:outlineLvl w:val="2"/>
        <w:rPr>
          <w:rFonts w:ascii="楷体" w:hAnsi="楷体" w:eastAsia="楷体" w:cs="楷体"/>
          <w:sz w:val="32"/>
          <w:szCs w:val="32"/>
        </w:rPr>
      </w:pPr>
      <w:r>
        <w:rPr>
          <w:rFonts w:ascii="楷体" w:hAnsi="楷体" w:eastAsia="楷体" w:cs="楷体"/>
          <w:sz w:val="32"/>
          <w:szCs w:val="32"/>
        </w:rPr>
        <w:t>7</w:t>
      </w:r>
      <w:r>
        <w:rPr>
          <w:rFonts w:hint="eastAsia" w:ascii="楷体" w:hAnsi="楷体" w:eastAsia="楷体" w:cs="楷体"/>
          <w:sz w:val="32"/>
          <w:szCs w:val="32"/>
        </w:rPr>
        <w:t>、员工对工作单位的满意度</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员工满意度调查结果表明，员工对公司的整体满意度较高。员工普遍认为公司的文化氛围具有吸引力，对公司有很强的归属感，愿意将自身与公司较为紧密的联系起来。同事调查结果显示员工整体流动意向较低，这从侧面反映了员工对公司的满意度。</w:t>
      </w:r>
    </w:p>
    <w:p>
      <w:pPr>
        <w:spacing w:line="580" w:lineRule="exact"/>
        <w:ind w:firstLine="640" w:firstLineChars="200"/>
        <w:jc w:val="left"/>
        <w:outlineLvl w:val="1"/>
        <w:rPr>
          <w:rFonts w:ascii="楷体" w:hAnsi="楷体" w:eastAsia="楷体" w:cs="楷体"/>
          <w:sz w:val="32"/>
          <w:szCs w:val="32"/>
        </w:rPr>
      </w:pPr>
      <w:bookmarkStart w:id="243" w:name="_Toc12269"/>
      <w:bookmarkStart w:id="244" w:name="_Toc14048"/>
      <w:bookmarkStart w:id="245" w:name="_Toc27386"/>
      <w:bookmarkStart w:id="246" w:name="_Toc27013"/>
      <w:bookmarkStart w:id="247" w:name="_Toc23630"/>
      <w:bookmarkStart w:id="248" w:name="_Toc27317"/>
      <w:bookmarkStart w:id="249" w:name="_Toc23697"/>
      <w:bookmarkStart w:id="250" w:name="_Toc30339"/>
      <w:bookmarkStart w:id="251" w:name="_Toc32185"/>
      <w:bookmarkStart w:id="252" w:name="_Toc10911"/>
      <w:r>
        <w:rPr>
          <w:rFonts w:hint="eastAsia" w:ascii="楷体" w:hAnsi="楷体" w:eastAsia="楷体" w:cs="楷体"/>
          <w:sz w:val="32"/>
          <w:szCs w:val="32"/>
        </w:rPr>
        <w:t>（三）员工权利</w:t>
      </w:r>
      <w:bookmarkEnd w:id="243"/>
      <w:bookmarkEnd w:id="244"/>
      <w:bookmarkEnd w:id="245"/>
      <w:bookmarkEnd w:id="246"/>
      <w:bookmarkEnd w:id="247"/>
      <w:bookmarkEnd w:id="248"/>
      <w:bookmarkEnd w:id="249"/>
      <w:bookmarkEnd w:id="250"/>
      <w:bookmarkEnd w:id="251"/>
      <w:bookmarkEnd w:id="252"/>
    </w:p>
    <w:p>
      <w:pPr>
        <w:spacing w:line="580" w:lineRule="exact"/>
        <w:ind w:firstLine="640" w:firstLineChars="200"/>
        <w:jc w:val="left"/>
        <w:outlineLvl w:val="2"/>
        <w:rPr>
          <w:rFonts w:ascii="楷体" w:hAnsi="楷体" w:eastAsia="楷体" w:cs="楷体"/>
          <w:sz w:val="32"/>
          <w:szCs w:val="32"/>
        </w:rPr>
      </w:pPr>
      <w:r>
        <w:rPr>
          <w:rFonts w:ascii="楷体" w:hAnsi="楷体" w:eastAsia="楷体" w:cs="楷体"/>
          <w:sz w:val="32"/>
          <w:szCs w:val="32"/>
        </w:rPr>
        <w:t>1</w:t>
      </w:r>
      <w:r>
        <w:rPr>
          <w:rFonts w:hint="eastAsia" w:ascii="楷体" w:hAnsi="楷体" w:eastAsia="楷体" w:cs="楷体"/>
          <w:sz w:val="32"/>
          <w:szCs w:val="32"/>
        </w:rPr>
        <w:t>、员工权利的保障</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公</w:t>
      </w:r>
      <w:r>
        <w:rPr>
          <w:rFonts w:hint="eastAsia" w:ascii="仿宋" w:hAnsi="仿宋" w:eastAsia="仿宋" w:cs="仿宋"/>
          <w:sz w:val="32"/>
          <w:szCs w:val="32"/>
        </w:rPr>
        <w:t>司认真遵守《中华人民共和国劳动法》、《中华人民共和国劳动合同法》及工作地颁布的相关法律法规，遵循中国政府批准的有关国际公约，以及业务所在地相关法律法规。建立了比较完善的用工管理制度体系，包括劳动合同管理制度、工资保险与福利制度、业绩考核制度、奖惩制度、职业培训制度、休假制度等。重视员工的切身利益，最大限度地保障员工和退休人员的各项合法权益，努力形成公司和员工利益共享机制，建立和谐劳动关系。公司坚持对不同国籍、民族、种族、性别、宗教信仰和文化背景的员工一视同仁，平等对待，坚决禁止雇佣和使用童工，抵制一切形式的强迫和强制性劳动。在公司，女性与男性享有同等的权利。公司一直注重促进当地居民、女性和少数民族就业，努力增加当地社区的就业机会。</w:t>
      </w:r>
    </w:p>
    <w:p>
      <w:pPr>
        <w:spacing w:line="580" w:lineRule="exact"/>
        <w:ind w:firstLine="640" w:firstLineChars="200"/>
        <w:jc w:val="left"/>
        <w:outlineLvl w:val="1"/>
        <w:rPr>
          <w:rFonts w:ascii="楷体" w:hAnsi="楷体" w:eastAsia="楷体" w:cs="楷体"/>
          <w:sz w:val="32"/>
          <w:szCs w:val="32"/>
        </w:rPr>
      </w:pPr>
      <w:bookmarkStart w:id="253" w:name="_Toc25893"/>
      <w:bookmarkStart w:id="254" w:name="_Toc22533"/>
      <w:bookmarkStart w:id="255" w:name="_Toc8067"/>
      <w:bookmarkStart w:id="256" w:name="_Toc17152"/>
      <w:bookmarkStart w:id="257" w:name="_Toc26431"/>
      <w:bookmarkStart w:id="258" w:name="_Toc10517"/>
      <w:bookmarkStart w:id="259" w:name="_Toc15661"/>
      <w:bookmarkStart w:id="260" w:name="_Toc13585"/>
      <w:bookmarkStart w:id="261" w:name="_Toc10347"/>
      <w:bookmarkStart w:id="262" w:name="_Toc12619"/>
      <w:r>
        <w:rPr>
          <w:rFonts w:hint="eastAsia" w:ascii="楷体" w:hAnsi="楷体" w:eastAsia="楷体" w:cs="楷体"/>
          <w:sz w:val="32"/>
          <w:szCs w:val="32"/>
        </w:rPr>
        <w:t>（四）社会影响</w:t>
      </w:r>
      <w:bookmarkEnd w:id="253"/>
      <w:bookmarkEnd w:id="254"/>
      <w:bookmarkEnd w:id="255"/>
      <w:bookmarkEnd w:id="256"/>
      <w:bookmarkEnd w:id="257"/>
      <w:bookmarkEnd w:id="258"/>
      <w:bookmarkEnd w:id="259"/>
      <w:bookmarkEnd w:id="260"/>
      <w:bookmarkEnd w:id="261"/>
      <w:bookmarkEnd w:id="262"/>
    </w:p>
    <w:p>
      <w:pPr>
        <w:spacing w:line="580" w:lineRule="exact"/>
        <w:ind w:firstLine="640" w:firstLineChars="200"/>
        <w:jc w:val="left"/>
        <w:outlineLvl w:val="2"/>
        <w:rPr>
          <w:rFonts w:ascii="楷体" w:hAnsi="楷体" w:eastAsia="楷体" w:cs="楷体"/>
          <w:sz w:val="32"/>
          <w:szCs w:val="32"/>
        </w:rPr>
      </w:pPr>
      <w:r>
        <w:rPr>
          <w:rFonts w:ascii="楷体" w:hAnsi="楷体" w:eastAsia="楷体" w:cs="楷体"/>
          <w:sz w:val="32"/>
          <w:szCs w:val="32"/>
        </w:rPr>
        <w:t>1</w:t>
      </w:r>
      <w:r>
        <w:rPr>
          <w:rFonts w:hint="eastAsia" w:ascii="楷体" w:hAnsi="楷体" w:eastAsia="楷体" w:cs="楷体"/>
          <w:sz w:val="32"/>
          <w:szCs w:val="32"/>
        </w:rPr>
        <w:t>、与社区的沟通以及为社区所做贡献</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公司专门开辟投资者教育专栏，对投资者进行普及教育，为进一步推广、普及期货知识，塑造公司品牌，做了一些基础性的工作。</w:t>
      </w:r>
    </w:p>
    <w:p>
      <w:pPr>
        <w:spacing w:line="580" w:lineRule="exact"/>
        <w:ind w:firstLine="640" w:firstLineChars="200"/>
        <w:jc w:val="left"/>
        <w:outlineLvl w:val="2"/>
        <w:rPr>
          <w:rFonts w:ascii="楷体" w:hAnsi="楷体" w:eastAsia="楷体" w:cs="楷体"/>
          <w:sz w:val="32"/>
          <w:szCs w:val="32"/>
        </w:rPr>
      </w:pPr>
      <w:r>
        <w:rPr>
          <w:rFonts w:ascii="楷体" w:hAnsi="楷体" w:eastAsia="楷体" w:cs="楷体"/>
          <w:sz w:val="32"/>
          <w:szCs w:val="32"/>
        </w:rPr>
        <w:t>2</w:t>
      </w:r>
      <w:r>
        <w:rPr>
          <w:rFonts w:hint="eastAsia" w:ascii="楷体" w:hAnsi="楷体" w:eastAsia="楷体" w:cs="楷体"/>
          <w:sz w:val="32"/>
          <w:szCs w:val="32"/>
        </w:rPr>
        <w:t>、良好的商业道德与职业操守</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在公司加强合规管理，设首席风险官，规范经营行为的同时，公司严格遵守行业自律公约、从业人员行为准则、反不正当竞争公约、反商业贿赂公约等行业规则，开展公平竞争，维护行业良好的市场竞争秩序。</w:t>
      </w:r>
    </w:p>
    <w:p>
      <w:pPr>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同时对《反洗钱内部控制制度》进行修订及完善，新增了新增《反洗钱信息共享管理实施细则》、《洗钱风险报告制度》、《洗钱风险事件应急管理办法》、《业务洗钱和恐怖融资风险评估实施办法》、《洗钱风险自评估实施办法》，并细化了反洗钱与反恐融资方面的大额交易与可疑交易报告流程、客户身份识别制度、客户风险等级划分等相关制度，按规定向中国人民银行报备。</w:t>
      </w:r>
    </w:p>
    <w:p>
      <w:pPr>
        <w:spacing w:line="580" w:lineRule="exact"/>
        <w:ind w:firstLine="640" w:firstLineChars="200"/>
        <w:jc w:val="left"/>
        <w:outlineLvl w:val="0"/>
        <w:rPr>
          <w:rFonts w:ascii="仿宋" w:hAnsi="仿宋" w:eastAsia="仿宋"/>
          <w:sz w:val="32"/>
          <w:szCs w:val="32"/>
        </w:rPr>
      </w:pPr>
      <w:bookmarkStart w:id="263" w:name="_Toc26169"/>
      <w:bookmarkStart w:id="264" w:name="_Toc22043"/>
      <w:bookmarkStart w:id="265" w:name="_Toc16440"/>
      <w:bookmarkStart w:id="266" w:name="_Toc21642"/>
      <w:bookmarkStart w:id="267" w:name="_Toc30602"/>
      <w:bookmarkStart w:id="268" w:name="_Toc13796"/>
      <w:bookmarkStart w:id="269" w:name="_Toc11860"/>
      <w:bookmarkStart w:id="270" w:name="_Toc3314"/>
      <w:bookmarkStart w:id="271" w:name="_Toc16565"/>
      <w:bookmarkStart w:id="272" w:name="_Toc24225"/>
      <w:r>
        <w:rPr>
          <w:rFonts w:hint="eastAsia" w:ascii="黑体" w:hAnsi="黑体" w:eastAsia="黑体" w:cs="黑体"/>
          <w:bCs/>
          <w:sz w:val="32"/>
          <w:szCs w:val="32"/>
        </w:rPr>
        <w:t>六、</w:t>
      </w:r>
      <w:r>
        <w:rPr>
          <w:rFonts w:hint="eastAsia" w:ascii="黑体" w:hAnsi="黑体" w:eastAsia="黑体" w:cs="黑体"/>
          <w:b w:val="0"/>
          <w:bCs/>
          <w:sz w:val="32"/>
          <w:szCs w:val="32"/>
        </w:rPr>
        <w:t>环境责任与业绩</w:t>
      </w:r>
      <w:bookmarkEnd w:id="263"/>
      <w:bookmarkEnd w:id="264"/>
      <w:bookmarkEnd w:id="265"/>
      <w:bookmarkEnd w:id="266"/>
      <w:bookmarkEnd w:id="267"/>
      <w:bookmarkEnd w:id="268"/>
      <w:bookmarkEnd w:id="269"/>
      <w:bookmarkEnd w:id="270"/>
      <w:bookmarkEnd w:id="271"/>
      <w:bookmarkEnd w:id="272"/>
    </w:p>
    <w:p>
      <w:pPr>
        <w:spacing w:line="580" w:lineRule="exact"/>
        <w:ind w:firstLine="600"/>
        <w:jc w:val="left"/>
        <w:rPr>
          <w:rFonts w:ascii="仿宋" w:hAnsi="仿宋" w:eastAsia="仿宋"/>
          <w:sz w:val="32"/>
          <w:szCs w:val="32"/>
        </w:rPr>
      </w:pPr>
      <w:r>
        <w:rPr>
          <w:rFonts w:hint="eastAsia" w:ascii="仿宋" w:hAnsi="仿宋" w:eastAsia="仿宋"/>
          <w:sz w:val="32"/>
          <w:szCs w:val="32"/>
        </w:rPr>
        <w:t>公司倡导低碳环保办公理念，力求提高效率与节约资源并重，加强环保理念宣传和员工环境责任意识培训，降低运行成本，促进节能减排，努力打造环境友好型企业。公司经营管理过程中主要消耗的资源为水、电、纸张、汽油等，主要排放物为温室气体，主要废弃物为办公、生活垃圾等无害废弃物以及电子垃圾等有害废弃物。</w:t>
      </w:r>
    </w:p>
    <w:p>
      <w:pPr>
        <w:spacing w:line="580" w:lineRule="exact"/>
        <w:ind w:firstLine="600"/>
        <w:jc w:val="left"/>
        <w:rPr>
          <w:rFonts w:ascii="仿宋" w:hAnsi="仿宋" w:eastAsia="仿宋"/>
          <w:sz w:val="32"/>
          <w:szCs w:val="32"/>
        </w:rPr>
      </w:pPr>
      <w:bookmarkStart w:id="273" w:name="OLE_LINK2"/>
      <w:r>
        <w:rPr>
          <w:rFonts w:hint="eastAsia" w:ascii="仿宋" w:hAnsi="仿宋" w:eastAsia="仿宋"/>
          <w:sz w:val="32"/>
          <w:szCs w:val="32"/>
        </w:rPr>
        <w:t>公司严格遵循《中华人民共和国环境保护法》、《中华人民共和国节约能源法》等法律法规，致力于将节能意识融入员工日常工作的各个方面，最大程度降低能耗、减少污染。</w:t>
      </w:r>
      <w:bookmarkEnd w:id="273"/>
      <w:r>
        <w:rPr>
          <w:rFonts w:hint="eastAsia" w:ascii="仿宋" w:hAnsi="仿宋" w:eastAsia="仿宋"/>
          <w:sz w:val="32"/>
          <w:szCs w:val="32"/>
        </w:rPr>
        <w:t>2020年，公司未发现环境保护方面的违法违规事件。</w:t>
      </w:r>
    </w:p>
    <w:p>
      <w:pPr>
        <w:spacing w:line="580" w:lineRule="exact"/>
        <w:ind w:firstLine="600"/>
        <w:jc w:val="left"/>
        <w:rPr>
          <w:rFonts w:ascii="仿宋" w:hAnsi="仿宋" w:eastAsia="仿宋"/>
          <w:sz w:val="32"/>
          <w:szCs w:val="32"/>
        </w:rPr>
      </w:pPr>
      <w:r>
        <w:rPr>
          <w:rFonts w:hint="eastAsia" w:ascii="仿宋" w:hAnsi="仿宋" w:eastAsia="仿宋"/>
          <w:sz w:val="32"/>
          <w:szCs w:val="32"/>
        </w:rPr>
        <w:t>在节水节电方面，公司优先采购节水器具，谨防跑冒滴漏。办公场所采用节能灯管照明，不用时及时关闭。严格把控空调设置温度，合理利用新风系统，减少能源损失。</w:t>
      </w:r>
    </w:p>
    <w:p>
      <w:pPr>
        <w:spacing w:line="580" w:lineRule="exact"/>
        <w:ind w:firstLine="600"/>
        <w:jc w:val="left"/>
        <w:rPr>
          <w:rFonts w:ascii="仿宋" w:hAnsi="仿宋" w:eastAsia="仿宋"/>
          <w:sz w:val="32"/>
          <w:szCs w:val="32"/>
        </w:rPr>
      </w:pPr>
      <w:r>
        <w:rPr>
          <w:rFonts w:hint="eastAsia" w:ascii="仿宋" w:hAnsi="仿宋" w:eastAsia="仿宋"/>
          <w:sz w:val="32"/>
          <w:szCs w:val="32"/>
        </w:rPr>
        <w:t>在固废处理方面，设立固废回收箱，废弃物定点收集和分类回收，定期委托专业单位收集处理。</w:t>
      </w:r>
    </w:p>
    <w:p>
      <w:pPr>
        <w:spacing w:line="580" w:lineRule="exact"/>
        <w:ind w:firstLine="600"/>
        <w:jc w:val="left"/>
        <w:rPr>
          <w:rFonts w:ascii="仿宋" w:hAnsi="仿宋" w:eastAsia="仿宋"/>
          <w:sz w:val="32"/>
          <w:szCs w:val="32"/>
        </w:rPr>
      </w:pPr>
      <w:r>
        <w:rPr>
          <w:rFonts w:hint="eastAsia" w:ascii="仿宋" w:hAnsi="仿宋" w:eastAsia="仿宋"/>
          <w:sz w:val="32"/>
          <w:szCs w:val="32"/>
        </w:rPr>
        <w:t>在节约纸张方面，公司会议议程均提前采用邮件分发，推广无纸化会议。宣传制品使用再生纸张制作，文件打印鼓励双面用纸。</w:t>
      </w:r>
    </w:p>
    <w:p>
      <w:pPr>
        <w:spacing w:line="580" w:lineRule="exact"/>
        <w:ind w:firstLine="600"/>
        <w:jc w:val="left"/>
        <w:rPr>
          <w:rFonts w:ascii="仿宋" w:hAnsi="仿宋" w:eastAsia="仿宋"/>
          <w:sz w:val="32"/>
          <w:szCs w:val="32"/>
        </w:rPr>
      </w:pPr>
      <w:r>
        <w:rPr>
          <w:rFonts w:hint="eastAsia" w:ascii="仿宋" w:hAnsi="仿宋" w:eastAsia="仿宋"/>
          <w:sz w:val="32"/>
          <w:szCs w:val="32"/>
        </w:rPr>
        <w:t>在温室气体减排方面，公司借助差旅平台和用车管理平台数据分析，整合员工出行需求，合理共享出行资源。此外，公司提倡举行视频会议，降低因人员差旅产生的能耗及排放。</w:t>
      </w:r>
    </w:p>
    <w:p>
      <w:pPr>
        <w:spacing w:line="580" w:lineRule="exact"/>
        <w:ind w:firstLine="600"/>
        <w:jc w:val="left"/>
        <w:rPr>
          <w:rFonts w:ascii="仿宋" w:hAnsi="仿宋" w:eastAsia="仿宋"/>
          <w:sz w:val="32"/>
          <w:szCs w:val="32"/>
        </w:rPr>
      </w:pPr>
      <w:r>
        <w:rPr>
          <w:rFonts w:hint="eastAsia" w:ascii="仿宋" w:hAnsi="仿宋" w:eastAsia="仿宋"/>
          <w:sz w:val="32"/>
          <w:szCs w:val="32"/>
        </w:rPr>
        <w:t>在绿色数据中心建设方面，公司在设备端采用虚拟化技术和优先选择节能设备，以降低能耗。</w:t>
      </w:r>
    </w:p>
    <w:p>
      <w:pPr>
        <w:spacing w:line="580" w:lineRule="exact"/>
        <w:ind w:firstLine="600" w:firstLineChars="200"/>
        <w:outlineLvl w:val="0"/>
        <w:rPr>
          <w:rFonts w:ascii="黑体" w:hAnsi="黑体" w:eastAsia="黑体" w:cs="黑体"/>
          <w:b w:val="0"/>
          <w:bCs/>
          <w:sz w:val="30"/>
          <w:szCs w:val="30"/>
        </w:rPr>
      </w:pPr>
      <w:bookmarkStart w:id="274" w:name="_Toc16656"/>
      <w:bookmarkStart w:id="275" w:name="_Toc25649"/>
      <w:bookmarkStart w:id="276" w:name="_Toc8765"/>
      <w:bookmarkStart w:id="277" w:name="_Toc14452"/>
      <w:bookmarkStart w:id="278" w:name="_Toc28479"/>
      <w:bookmarkStart w:id="279" w:name="_Toc22299"/>
      <w:bookmarkStart w:id="280" w:name="_Toc24276"/>
      <w:bookmarkStart w:id="281" w:name="_Toc24567"/>
      <w:bookmarkStart w:id="282" w:name="_Toc14404"/>
      <w:bookmarkStart w:id="283" w:name="_Toc30566"/>
      <w:r>
        <w:rPr>
          <w:rFonts w:hint="eastAsia" w:ascii="黑体" w:hAnsi="黑体" w:eastAsia="黑体" w:cs="黑体"/>
          <w:bCs/>
          <w:sz w:val="30"/>
          <w:szCs w:val="30"/>
        </w:rPr>
        <w:t>七、</w:t>
      </w:r>
      <w:r>
        <w:rPr>
          <w:rFonts w:hint="eastAsia" w:ascii="黑体" w:hAnsi="黑体" w:eastAsia="黑体" w:cs="黑体"/>
          <w:b w:val="0"/>
          <w:bCs/>
          <w:sz w:val="30"/>
          <w:szCs w:val="30"/>
        </w:rPr>
        <w:t>附录</w:t>
      </w:r>
      <w:bookmarkEnd w:id="274"/>
      <w:bookmarkEnd w:id="275"/>
      <w:bookmarkEnd w:id="276"/>
      <w:bookmarkEnd w:id="277"/>
      <w:bookmarkEnd w:id="278"/>
      <w:bookmarkEnd w:id="279"/>
      <w:bookmarkEnd w:id="280"/>
      <w:bookmarkEnd w:id="281"/>
      <w:bookmarkEnd w:id="282"/>
      <w:bookmarkEnd w:id="283"/>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4808"/>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vAlign w:val="center"/>
          </w:tcPr>
          <w:p>
            <w:pPr>
              <w:spacing w:line="580" w:lineRule="exact"/>
              <w:jc w:val="center"/>
              <w:rPr>
                <w:rFonts w:ascii="仿宋" w:hAnsi="仿宋" w:eastAsia="仿宋"/>
                <w:sz w:val="28"/>
                <w:szCs w:val="28"/>
              </w:rPr>
            </w:pPr>
            <w:r>
              <w:rPr>
                <w:rFonts w:hint="eastAsia" w:ascii="仿宋" w:hAnsi="仿宋" w:eastAsia="仿宋"/>
                <w:sz w:val="28"/>
                <w:szCs w:val="28"/>
              </w:rPr>
              <w:t>天风期货</w:t>
            </w:r>
            <w:r>
              <w:rPr>
                <w:rFonts w:ascii="仿宋" w:hAnsi="仿宋" w:eastAsia="仿宋"/>
                <w:sz w:val="28"/>
                <w:szCs w:val="28"/>
              </w:rPr>
              <w:t>2020</w:t>
            </w:r>
            <w:r>
              <w:rPr>
                <w:rFonts w:hint="eastAsia" w:ascii="仿宋" w:hAnsi="仿宋" w:eastAsia="仿宋"/>
                <w:sz w:val="28"/>
                <w:szCs w:val="28"/>
              </w:rPr>
              <w:t>年度获奖情况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dxa"/>
            <w:vAlign w:val="center"/>
          </w:tcPr>
          <w:p>
            <w:pPr>
              <w:spacing w:line="580" w:lineRule="exact"/>
              <w:jc w:val="center"/>
              <w:rPr>
                <w:rFonts w:ascii="仿宋" w:hAnsi="仿宋" w:eastAsia="仿宋"/>
                <w:sz w:val="28"/>
                <w:szCs w:val="28"/>
              </w:rPr>
            </w:pPr>
            <w:r>
              <w:rPr>
                <w:rFonts w:hint="eastAsia" w:ascii="仿宋" w:hAnsi="仿宋" w:eastAsia="仿宋"/>
                <w:sz w:val="28"/>
                <w:szCs w:val="28"/>
              </w:rPr>
              <w:t>序号</w:t>
            </w:r>
          </w:p>
        </w:tc>
        <w:tc>
          <w:tcPr>
            <w:tcW w:w="4808" w:type="dxa"/>
            <w:vAlign w:val="center"/>
          </w:tcPr>
          <w:p>
            <w:pPr>
              <w:spacing w:line="580" w:lineRule="exact"/>
              <w:jc w:val="center"/>
              <w:rPr>
                <w:rFonts w:ascii="仿宋" w:hAnsi="仿宋" w:eastAsia="仿宋"/>
                <w:sz w:val="28"/>
                <w:szCs w:val="28"/>
              </w:rPr>
            </w:pPr>
            <w:r>
              <w:rPr>
                <w:rFonts w:hint="eastAsia" w:ascii="仿宋" w:hAnsi="仿宋" w:eastAsia="仿宋"/>
                <w:sz w:val="28"/>
                <w:szCs w:val="28"/>
              </w:rPr>
              <w:t>所获奖项</w:t>
            </w:r>
          </w:p>
        </w:tc>
        <w:tc>
          <w:tcPr>
            <w:tcW w:w="2841" w:type="dxa"/>
            <w:vAlign w:val="center"/>
          </w:tcPr>
          <w:p>
            <w:pPr>
              <w:spacing w:line="580" w:lineRule="exact"/>
              <w:jc w:val="center"/>
              <w:rPr>
                <w:rFonts w:ascii="仿宋" w:hAnsi="仿宋" w:eastAsia="仿宋"/>
                <w:sz w:val="28"/>
                <w:szCs w:val="28"/>
              </w:rPr>
            </w:pPr>
            <w:r>
              <w:rPr>
                <w:rFonts w:hint="eastAsia" w:ascii="仿宋" w:hAnsi="仿宋" w:eastAsia="仿宋"/>
                <w:sz w:val="28"/>
                <w:szCs w:val="28"/>
              </w:rPr>
              <w:t>评选单位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dxa"/>
            <w:vAlign w:val="center"/>
          </w:tcPr>
          <w:p>
            <w:pPr>
              <w:spacing w:line="580" w:lineRule="exact"/>
              <w:jc w:val="center"/>
              <w:rPr>
                <w:rFonts w:ascii="仿宋" w:hAnsi="仿宋" w:eastAsia="仿宋"/>
                <w:sz w:val="28"/>
                <w:szCs w:val="28"/>
              </w:rPr>
            </w:pPr>
            <w:r>
              <w:rPr>
                <w:rFonts w:ascii="仿宋" w:hAnsi="仿宋" w:eastAsia="仿宋"/>
                <w:sz w:val="28"/>
                <w:szCs w:val="28"/>
              </w:rPr>
              <w:t>1</w:t>
            </w:r>
          </w:p>
        </w:tc>
        <w:tc>
          <w:tcPr>
            <w:tcW w:w="4808" w:type="dxa"/>
            <w:vAlign w:val="center"/>
          </w:tcPr>
          <w:p>
            <w:pPr>
              <w:spacing w:line="580" w:lineRule="exact"/>
              <w:jc w:val="left"/>
              <w:rPr>
                <w:rFonts w:ascii="仿宋" w:hAnsi="仿宋" w:eastAsia="仿宋"/>
                <w:sz w:val="28"/>
                <w:szCs w:val="28"/>
              </w:rPr>
            </w:pPr>
            <w:r>
              <w:rPr>
                <w:rFonts w:ascii="仿宋" w:hAnsi="仿宋" w:eastAsia="仿宋"/>
                <w:sz w:val="28"/>
                <w:szCs w:val="28"/>
              </w:rPr>
              <w:t>2020年第一届Wind金牌期货研究奖</w:t>
            </w:r>
          </w:p>
        </w:tc>
        <w:tc>
          <w:tcPr>
            <w:tcW w:w="2841" w:type="dxa"/>
            <w:vMerge w:val="restart"/>
            <w:vAlign w:val="center"/>
          </w:tcPr>
          <w:p>
            <w:pPr>
              <w:spacing w:line="580" w:lineRule="exact"/>
              <w:jc w:val="center"/>
              <w:rPr>
                <w:rFonts w:ascii="仿宋" w:hAnsi="仿宋" w:eastAsia="仿宋"/>
                <w:sz w:val="28"/>
                <w:szCs w:val="28"/>
              </w:rPr>
            </w:pPr>
            <w:r>
              <w:rPr>
                <w:rFonts w:hint="eastAsia" w:ascii="仿宋" w:hAnsi="仿宋" w:eastAsia="仿宋"/>
                <w:sz w:val="28"/>
                <w:szCs w:val="28"/>
              </w:rPr>
              <w:t>万得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dxa"/>
            <w:vAlign w:val="center"/>
          </w:tcPr>
          <w:p>
            <w:pPr>
              <w:spacing w:line="580" w:lineRule="exact"/>
              <w:jc w:val="center"/>
              <w:rPr>
                <w:rFonts w:ascii="仿宋" w:hAnsi="仿宋" w:eastAsia="仿宋"/>
                <w:sz w:val="28"/>
                <w:szCs w:val="28"/>
              </w:rPr>
            </w:pPr>
            <w:r>
              <w:rPr>
                <w:rFonts w:ascii="仿宋" w:hAnsi="仿宋" w:eastAsia="仿宋"/>
                <w:sz w:val="28"/>
                <w:szCs w:val="28"/>
              </w:rPr>
              <w:t>2</w:t>
            </w:r>
          </w:p>
        </w:tc>
        <w:tc>
          <w:tcPr>
            <w:tcW w:w="4808" w:type="dxa"/>
            <w:vAlign w:val="center"/>
          </w:tcPr>
          <w:p>
            <w:pPr>
              <w:spacing w:line="580" w:lineRule="exact"/>
              <w:jc w:val="left"/>
              <w:rPr>
                <w:rFonts w:ascii="仿宋" w:hAnsi="仿宋" w:eastAsia="仿宋"/>
                <w:sz w:val="28"/>
                <w:szCs w:val="28"/>
              </w:rPr>
            </w:pPr>
            <w:r>
              <w:rPr>
                <w:rFonts w:hint="eastAsia" w:ascii="仿宋" w:hAnsi="仿宋" w:eastAsia="仿宋"/>
                <w:sz w:val="28"/>
                <w:szCs w:val="28"/>
              </w:rPr>
              <w:t>商品期货研究第八名</w:t>
            </w:r>
          </w:p>
        </w:tc>
        <w:tc>
          <w:tcPr>
            <w:tcW w:w="2841" w:type="dxa"/>
            <w:vMerge w:val="continue"/>
            <w:vAlign w:val="center"/>
          </w:tcPr>
          <w:p>
            <w:pPr>
              <w:spacing w:line="58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dxa"/>
            <w:vAlign w:val="center"/>
          </w:tcPr>
          <w:p>
            <w:pPr>
              <w:spacing w:line="580" w:lineRule="exact"/>
              <w:jc w:val="center"/>
              <w:rPr>
                <w:rFonts w:ascii="仿宋" w:hAnsi="仿宋" w:eastAsia="仿宋"/>
                <w:sz w:val="28"/>
                <w:szCs w:val="28"/>
              </w:rPr>
            </w:pPr>
            <w:r>
              <w:rPr>
                <w:rFonts w:ascii="仿宋" w:hAnsi="仿宋" w:eastAsia="仿宋"/>
                <w:sz w:val="28"/>
                <w:szCs w:val="28"/>
              </w:rPr>
              <w:t>3</w:t>
            </w:r>
          </w:p>
        </w:tc>
        <w:tc>
          <w:tcPr>
            <w:tcW w:w="4808" w:type="dxa"/>
            <w:vAlign w:val="center"/>
          </w:tcPr>
          <w:p>
            <w:pPr>
              <w:spacing w:line="580" w:lineRule="exact"/>
              <w:jc w:val="left"/>
              <w:rPr>
                <w:rFonts w:ascii="仿宋" w:hAnsi="仿宋" w:eastAsia="仿宋"/>
                <w:sz w:val="28"/>
                <w:szCs w:val="28"/>
              </w:rPr>
            </w:pPr>
            <w:r>
              <w:rPr>
                <w:rFonts w:hint="eastAsia" w:ascii="仿宋" w:hAnsi="仿宋" w:eastAsia="仿宋"/>
                <w:sz w:val="28"/>
                <w:szCs w:val="28"/>
              </w:rPr>
              <w:t>2020年度市场成长优秀会员</w:t>
            </w:r>
          </w:p>
        </w:tc>
        <w:tc>
          <w:tcPr>
            <w:tcW w:w="2841" w:type="dxa"/>
            <w:vMerge w:val="restart"/>
            <w:vAlign w:val="center"/>
          </w:tcPr>
          <w:p>
            <w:pPr>
              <w:spacing w:line="580" w:lineRule="exact"/>
              <w:jc w:val="center"/>
              <w:rPr>
                <w:rFonts w:ascii="仿宋" w:hAnsi="仿宋" w:eastAsia="仿宋"/>
                <w:sz w:val="28"/>
                <w:szCs w:val="28"/>
              </w:rPr>
            </w:pPr>
            <w:r>
              <w:rPr>
                <w:rFonts w:hint="eastAsia" w:ascii="仿宋" w:hAnsi="仿宋" w:eastAsia="仿宋"/>
                <w:sz w:val="28"/>
                <w:szCs w:val="28"/>
              </w:rPr>
              <w:t>郑州商品交易所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dxa"/>
            <w:vAlign w:val="center"/>
          </w:tcPr>
          <w:p>
            <w:pPr>
              <w:spacing w:line="580" w:lineRule="exact"/>
              <w:jc w:val="center"/>
              <w:rPr>
                <w:rFonts w:ascii="仿宋" w:hAnsi="仿宋" w:eastAsia="仿宋"/>
                <w:sz w:val="28"/>
                <w:szCs w:val="28"/>
              </w:rPr>
            </w:pPr>
            <w:r>
              <w:rPr>
                <w:rFonts w:ascii="仿宋" w:hAnsi="仿宋" w:eastAsia="仿宋"/>
                <w:sz w:val="28"/>
                <w:szCs w:val="28"/>
              </w:rPr>
              <w:t>4</w:t>
            </w:r>
          </w:p>
        </w:tc>
        <w:tc>
          <w:tcPr>
            <w:tcW w:w="4808" w:type="dxa"/>
            <w:vAlign w:val="center"/>
          </w:tcPr>
          <w:p>
            <w:pPr>
              <w:spacing w:line="580" w:lineRule="exact"/>
              <w:jc w:val="left"/>
              <w:rPr>
                <w:rFonts w:ascii="仿宋" w:hAnsi="仿宋" w:eastAsia="仿宋"/>
                <w:sz w:val="28"/>
                <w:szCs w:val="28"/>
              </w:rPr>
            </w:pPr>
            <w:r>
              <w:rPr>
                <w:rFonts w:hint="eastAsia" w:ascii="仿宋" w:hAnsi="仿宋" w:eastAsia="仿宋"/>
                <w:sz w:val="28"/>
                <w:szCs w:val="28"/>
              </w:rPr>
              <w:t>2020年度短纤品种服务优秀会员</w:t>
            </w:r>
          </w:p>
        </w:tc>
        <w:tc>
          <w:tcPr>
            <w:tcW w:w="2841" w:type="dxa"/>
            <w:vMerge w:val="continue"/>
            <w:vAlign w:val="center"/>
          </w:tcPr>
          <w:p>
            <w:pPr>
              <w:spacing w:line="58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dxa"/>
            <w:vAlign w:val="center"/>
          </w:tcPr>
          <w:p>
            <w:pPr>
              <w:spacing w:line="580" w:lineRule="exact"/>
              <w:jc w:val="center"/>
              <w:rPr>
                <w:rFonts w:ascii="仿宋" w:hAnsi="仿宋" w:eastAsia="仿宋"/>
                <w:sz w:val="28"/>
                <w:szCs w:val="28"/>
              </w:rPr>
            </w:pPr>
            <w:r>
              <w:rPr>
                <w:rFonts w:ascii="仿宋" w:hAnsi="仿宋" w:eastAsia="仿宋"/>
                <w:sz w:val="28"/>
                <w:szCs w:val="28"/>
              </w:rPr>
              <w:t>5</w:t>
            </w:r>
          </w:p>
        </w:tc>
        <w:tc>
          <w:tcPr>
            <w:tcW w:w="4808" w:type="dxa"/>
            <w:vAlign w:val="center"/>
          </w:tcPr>
          <w:p>
            <w:pPr>
              <w:spacing w:line="580" w:lineRule="exact"/>
              <w:jc w:val="left"/>
              <w:rPr>
                <w:rFonts w:ascii="仿宋" w:hAnsi="仿宋" w:eastAsia="仿宋"/>
                <w:sz w:val="28"/>
                <w:szCs w:val="28"/>
              </w:rPr>
            </w:pPr>
            <w:r>
              <w:rPr>
                <w:rFonts w:hint="eastAsia" w:ascii="仿宋" w:hAnsi="仿宋" w:eastAsia="仿宋"/>
                <w:sz w:val="28"/>
                <w:szCs w:val="28"/>
              </w:rPr>
              <w:t>2020年度短纤品种服务优秀营业部</w:t>
            </w:r>
          </w:p>
        </w:tc>
        <w:tc>
          <w:tcPr>
            <w:tcW w:w="2841" w:type="dxa"/>
            <w:vMerge w:val="continue"/>
            <w:vAlign w:val="center"/>
          </w:tcPr>
          <w:p>
            <w:pPr>
              <w:spacing w:line="58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dxa"/>
            <w:vAlign w:val="center"/>
          </w:tcPr>
          <w:p>
            <w:pPr>
              <w:spacing w:line="580" w:lineRule="exact"/>
              <w:jc w:val="center"/>
              <w:rPr>
                <w:rFonts w:ascii="仿宋" w:hAnsi="仿宋" w:eastAsia="仿宋"/>
                <w:sz w:val="28"/>
                <w:szCs w:val="28"/>
              </w:rPr>
            </w:pPr>
            <w:r>
              <w:rPr>
                <w:rFonts w:ascii="仿宋" w:hAnsi="仿宋" w:eastAsia="仿宋"/>
                <w:sz w:val="28"/>
                <w:szCs w:val="28"/>
              </w:rPr>
              <w:t>6</w:t>
            </w:r>
          </w:p>
        </w:tc>
        <w:tc>
          <w:tcPr>
            <w:tcW w:w="4808" w:type="dxa"/>
            <w:vAlign w:val="center"/>
          </w:tcPr>
          <w:p>
            <w:pPr>
              <w:spacing w:line="580" w:lineRule="exact"/>
              <w:jc w:val="left"/>
              <w:rPr>
                <w:rFonts w:ascii="仿宋" w:hAnsi="仿宋" w:eastAsia="仿宋"/>
                <w:sz w:val="28"/>
                <w:szCs w:val="28"/>
              </w:rPr>
            </w:pPr>
            <w:r>
              <w:rPr>
                <w:rFonts w:hint="eastAsia" w:ascii="仿宋" w:hAnsi="仿宋" w:eastAsia="仿宋"/>
                <w:sz w:val="28"/>
                <w:szCs w:val="28"/>
              </w:rPr>
              <w:t>2020年度优秀会员奖</w:t>
            </w:r>
          </w:p>
        </w:tc>
        <w:tc>
          <w:tcPr>
            <w:tcW w:w="2841" w:type="dxa"/>
            <w:vAlign w:val="center"/>
          </w:tcPr>
          <w:p>
            <w:pPr>
              <w:spacing w:line="580" w:lineRule="exact"/>
              <w:jc w:val="center"/>
              <w:rPr>
                <w:rFonts w:ascii="仿宋" w:hAnsi="仿宋" w:eastAsia="仿宋"/>
                <w:sz w:val="28"/>
                <w:szCs w:val="28"/>
              </w:rPr>
            </w:pPr>
            <w:r>
              <w:rPr>
                <w:rFonts w:hint="eastAsia" w:ascii="仿宋" w:hAnsi="仿宋" w:eastAsia="仿宋"/>
                <w:sz w:val="28"/>
                <w:szCs w:val="28"/>
              </w:rPr>
              <w:t>大连商品交易所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 w:type="dxa"/>
            <w:vAlign w:val="center"/>
          </w:tcPr>
          <w:p>
            <w:pPr>
              <w:spacing w:line="580" w:lineRule="exact"/>
              <w:jc w:val="center"/>
              <w:rPr>
                <w:rFonts w:ascii="仿宋" w:hAnsi="仿宋" w:eastAsia="仿宋"/>
                <w:sz w:val="28"/>
                <w:szCs w:val="28"/>
              </w:rPr>
            </w:pPr>
            <w:r>
              <w:rPr>
                <w:rFonts w:ascii="仿宋" w:hAnsi="仿宋" w:eastAsia="仿宋"/>
                <w:sz w:val="28"/>
                <w:szCs w:val="28"/>
              </w:rPr>
              <w:t>7</w:t>
            </w:r>
          </w:p>
        </w:tc>
        <w:tc>
          <w:tcPr>
            <w:tcW w:w="4808" w:type="dxa"/>
            <w:vAlign w:val="center"/>
          </w:tcPr>
          <w:p>
            <w:pPr>
              <w:spacing w:line="580" w:lineRule="exact"/>
              <w:jc w:val="left"/>
              <w:rPr>
                <w:rFonts w:ascii="仿宋" w:hAnsi="仿宋" w:eastAsia="仿宋"/>
                <w:sz w:val="28"/>
                <w:szCs w:val="28"/>
              </w:rPr>
            </w:pPr>
            <w:r>
              <w:rPr>
                <w:rFonts w:hint="eastAsia" w:ascii="仿宋" w:hAnsi="仿宋" w:eastAsia="仿宋"/>
                <w:sz w:val="28"/>
                <w:szCs w:val="28"/>
              </w:rPr>
              <w:t>2020年度优秀会员金奖</w:t>
            </w:r>
          </w:p>
        </w:tc>
        <w:tc>
          <w:tcPr>
            <w:tcW w:w="2841" w:type="dxa"/>
            <w:vAlign w:val="center"/>
          </w:tcPr>
          <w:p>
            <w:pPr>
              <w:spacing w:line="580" w:lineRule="exact"/>
              <w:jc w:val="center"/>
              <w:rPr>
                <w:rFonts w:ascii="仿宋" w:hAnsi="仿宋" w:eastAsia="仿宋"/>
                <w:sz w:val="28"/>
                <w:szCs w:val="28"/>
              </w:rPr>
            </w:pPr>
            <w:r>
              <w:rPr>
                <w:rFonts w:hint="eastAsia" w:ascii="仿宋" w:hAnsi="仿宋" w:eastAsia="仿宋"/>
                <w:sz w:val="28"/>
                <w:szCs w:val="28"/>
              </w:rPr>
              <w:t>中国金融期货交易所</w:t>
            </w:r>
          </w:p>
        </w:tc>
      </w:tr>
    </w:tbl>
    <w:p>
      <w:pPr>
        <w:spacing w:line="580" w:lineRule="exact"/>
        <w:rPr>
          <w:rFonts w:ascii="仿宋" w:hAnsi="仿宋" w:eastAsia="仿宋"/>
          <w:sz w:val="30"/>
          <w:szCs w:val="30"/>
        </w:rPr>
      </w:pPr>
    </w:p>
    <w:p>
      <w:pPr>
        <w:spacing w:line="580" w:lineRule="exact"/>
        <w:jc w:val="right"/>
        <w:rPr>
          <w:rFonts w:hint="default" w:ascii="仿宋" w:hAnsi="仿宋" w:eastAsia="仿宋"/>
          <w:sz w:val="30"/>
          <w:szCs w:val="30"/>
          <w:lang w:val="en-US" w:eastAsia="zh-CN"/>
        </w:rPr>
      </w:pPr>
      <w:r>
        <w:rPr>
          <w:rFonts w:hint="eastAsia" w:ascii="仿宋" w:hAnsi="仿宋" w:eastAsia="仿宋"/>
          <w:sz w:val="30"/>
          <w:szCs w:val="30"/>
          <w:lang w:val="en-US" w:eastAsia="zh-CN"/>
        </w:rPr>
        <w:t>天风期货股份有限公司</w:t>
      </w:r>
      <w:r>
        <w:rPr>
          <w:rFonts w:hint="eastAsia" w:ascii="仿宋" w:hAnsi="仿宋" w:eastAsia="仿宋"/>
          <w:sz w:val="30"/>
          <w:szCs w:val="30"/>
          <w:lang w:val="en-US" w:eastAsia="zh-CN"/>
        </w:rPr>
        <w:tab/>
      </w:r>
    </w:p>
    <w:p>
      <w:pPr>
        <w:wordWrap w:val="0"/>
        <w:spacing w:line="580" w:lineRule="exact"/>
        <w:jc w:val="right"/>
        <w:rPr>
          <w:rFonts w:hint="default" w:ascii="仿宋" w:hAnsi="仿宋" w:eastAsia="仿宋"/>
          <w:sz w:val="30"/>
          <w:szCs w:val="30"/>
          <w:lang w:val="en-US" w:eastAsia="zh-CN"/>
        </w:rPr>
      </w:pPr>
      <w:r>
        <w:rPr>
          <w:rFonts w:hint="eastAsia" w:ascii="仿宋" w:hAnsi="仿宋" w:eastAsia="仿宋"/>
          <w:sz w:val="30"/>
          <w:szCs w:val="30"/>
          <w:lang w:val="en-US" w:eastAsia="zh-CN"/>
        </w:rPr>
        <w:t>2021年4月27日</w:t>
      </w:r>
      <w:r>
        <w:rPr>
          <w:rFonts w:hint="eastAsia" w:ascii="仿宋" w:hAnsi="仿宋" w:eastAsia="仿宋"/>
          <w:sz w:val="30"/>
          <w:szCs w:val="30"/>
          <w:lang w:val="en-US" w:eastAsia="zh-CN"/>
        </w:rPr>
        <w:tab/>
      </w:r>
      <w:r>
        <w:rPr>
          <w:rFonts w:hint="eastAsia" w:ascii="仿宋" w:hAnsi="仿宋" w:eastAsia="仿宋"/>
          <w:sz w:val="30"/>
          <w:szCs w:val="30"/>
          <w:lang w:val="en-US" w:eastAsia="zh-CN"/>
        </w:rPr>
        <w:tab/>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2"/>
                            </w:rPr>
                          </w:pPr>
                          <w:r>
                            <w:fldChar w:fldCharType="begin"/>
                          </w:r>
                          <w:r>
                            <w:rPr>
                              <w:rStyle w:val="12"/>
                            </w:rPr>
                            <w:instrText xml:space="preserve">PAGE  </w:instrText>
                          </w:r>
                          <w:r>
                            <w:fldChar w:fldCharType="separate"/>
                          </w:r>
                          <w:r>
                            <w:rPr>
                              <w:rStyle w:val="12"/>
                            </w:rPr>
                            <w:t>1</w:t>
                          </w:r>
                          <w:r>
                            <w:fldChar w:fldCharType="end"/>
                          </w:r>
                        </w:p>
                        <w:p/>
                      </w:txbxContent>
                    </wps:txbx>
                    <wps:bodyPr vert="horz" wrap="none" lIns="0" tIns="0" rIns="0" bIns="0" anchor="t" anchorCtr="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719g2NYBAACyAwAADgAAAAAAAAABACAAAAAe&#10;AQAAZHJzL2Uyb0RvYy54bWxQSwUGAAAAAAYABgBZAQAAZgUAAAAA&#10;">
              <v:fill on="f" focussize="0,0"/>
              <v:stroke on="f"/>
              <v:imagedata o:title=""/>
              <o:lock v:ext="edit" aspectratio="f"/>
              <v:textbox inset="0mm,0mm,0mm,0mm" style="mso-fit-shape-to-text:t;">
                <w:txbxContent>
                  <w:p>
                    <w:pPr>
                      <w:pStyle w:val="4"/>
                      <w:rPr>
                        <w:rStyle w:val="12"/>
                      </w:rPr>
                    </w:pPr>
                    <w:r>
                      <w:fldChar w:fldCharType="begin"/>
                    </w:r>
                    <w:r>
                      <w:rPr>
                        <w:rStyle w:val="12"/>
                      </w:rPr>
                      <w:instrText xml:space="preserve">PAGE  </w:instrText>
                    </w:r>
                    <w:r>
                      <w:fldChar w:fldCharType="separate"/>
                    </w:r>
                    <w:r>
                      <w:rPr>
                        <w:rStyle w:val="12"/>
                      </w:rPr>
                      <w:t>1</w:t>
                    </w:r>
                    <w: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2"/>
                            </w:rPr>
                          </w:pPr>
                          <w:r>
                            <w:fldChar w:fldCharType="begin"/>
                          </w:r>
                          <w:r>
                            <w:rPr>
                              <w:rStyle w:val="12"/>
                            </w:rPr>
                            <w:instrText xml:space="preserve">PAGE  </w:instrText>
                          </w:r>
                          <w:r>
                            <w:fldChar w:fldCharType="separate"/>
                          </w:r>
                          <w:r>
                            <w:rPr>
                              <w:rStyle w:val="12"/>
                            </w:rPr>
                            <w:t>1</w:t>
                          </w:r>
                          <w:r>
                            <w:fldChar w:fldCharType="end"/>
                          </w:r>
                        </w:p>
                        <w:p/>
                      </w:txbxContent>
                    </wps:txbx>
                    <wps:bodyPr vert="horz" wrap="none" lIns="0" tIns="0" rIns="0" bIns="0" anchor="t" anchorCtr="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0/qHRNYBAACyAwAADgAAAAAAAAABACAAAAAe&#10;AQAAZHJzL2Uyb0RvYy54bWxQSwUGAAAAAAYABgBZAQAAZgUAAAAA&#10;">
              <v:fill on="f" focussize="0,0"/>
              <v:stroke on="f"/>
              <v:imagedata o:title=""/>
              <o:lock v:ext="edit" aspectratio="f"/>
              <v:textbox inset="0mm,0mm,0mm,0mm" style="mso-fit-shape-to-text:t;">
                <w:txbxContent>
                  <w:p>
                    <w:pPr>
                      <w:pStyle w:val="4"/>
                      <w:rPr>
                        <w:rStyle w:val="12"/>
                      </w:rPr>
                    </w:pPr>
                    <w:r>
                      <w:fldChar w:fldCharType="begin"/>
                    </w:r>
                    <w:r>
                      <w:rPr>
                        <w:rStyle w:val="12"/>
                      </w:rPr>
                      <w:instrText xml:space="preserve">PAGE  </w:instrText>
                    </w:r>
                    <w:r>
                      <w:fldChar w:fldCharType="separate"/>
                    </w:r>
                    <w:r>
                      <w:rPr>
                        <w:rStyle w:val="12"/>
                      </w:rPr>
                      <w:t>1</w:t>
                    </w:r>
                    <w:r>
                      <w:fldChar w:fldCharType="end"/>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pPr>
    <w:bookmarkStart w:id="284" w:name="OLE_LINK1"/>
    <w:r>
      <w:rPr>
        <w:rFonts w:hint="eastAsia"/>
      </w:rPr>
      <w:t>天风期货股份有限公司2020年度社会责任报告</w:t>
    </w:r>
    <w:bookmarkEnd w:id="2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pPr>
    <w:r>
      <w:rPr>
        <w:rFonts w:hint="eastAsia"/>
      </w:rPr>
      <w:t>天风期货股份有限公司2020年度社会责任报告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E7"/>
    <w:rsid w:val="00023AEF"/>
    <w:rsid w:val="000851A5"/>
    <w:rsid w:val="000F1C99"/>
    <w:rsid w:val="00185A7B"/>
    <w:rsid w:val="00332CE0"/>
    <w:rsid w:val="00356A04"/>
    <w:rsid w:val="003E7ED6"/>
    <w:rsid w:val="004229D5"/>
    <w:rsid w:val="004C0484"/>
    <w:rsid w:val="00552979"/>
    <w:rsid w:val="00552A0B"/>
    <w:rsid w:val="00560FC4"/>
    <w:rsid w:val="005637BB"/>
    <w:rsid w:val="00566B84"/>
    <w:rsid w:val="005E029C"/>
    <w:rsid w:val="00690C8E"/>
    <w:rsid w:val="006A4E33"/>
    <w:rsid w:val="006C0451"/>
    <w:rsid w:val="007067CA"/>
    <w:rsid w:val="00707FAE"/>
    <w:rsid w:val="00744BC0"/>
    <w:rsid w:val="00811513"/>
    <w:rsid w:val="00817BA6"/>
    <w:rsid w:val="00893A86"/>
    <w:rsid w:val="008E1EF4"/>
    <w:rsid w:val="009753E7"/>
    <w:rsid w:val="009A3649"/>
    <w:rsid w:val="00AD5D13"/>
    <w:rsid w:val="00BF1F85"/>
    <w:rsid w:val="00CD7D1A"/>
    <w:rsid w:val="00D5339C"/>
    <w:rsid w:val="00D9785F"/>
    <w:rsid w:val="00DB2A78"/>
    <w:rsid w:val="00E07C35"/>
    <w:rsid w:val="00E14C45"/>
    <w:rsid w:val="00E37885"/>
    <w:rsid w:val="00F10FF5"/>
    <w:rsid w:val="00F8424A"/>
    <w:rsid w:val="00FC415C"/>
    <w:rsid w:val="0161512F"/>
    <w:rsid w:val="03524B9C"/>
    <w:rsid w:val="04A65F48"/>
    <w:rsid w:val="05A9654B"/>
    <w:rsid w:val="07B671B0"/>
    <w:rsid w:val="09C86D65"/>
    <w:rsid w:val="09F23F9D"/>
    <w:rsid w:val="0C4E7903"/>
    <w:rsid w:val="0C8A64F0"/>
    <w:rsid w:val="0CBB3A9E"/>
    <w:rsid w:val="0D41653D"/>
    <w:rsid w:val="0F5020DA"/>
    <w:rsid w:val="10643FF8"/>
    <w:rsid w:val="1097098C"/>
    <w:rsid w:val="10E82171"/>
    <w:rsid w:val="129C1B37"/>
    <w:rsid w:val="15156ED1"/>
    <w:rsid w:val="15217698"/>
    <w:rsid w:val="1522652D"/>
    <w:rsid w:val="15CF55E4"/>
    <w:rsid w:val="17AE42E6"/>
    <w:rsid w:val="199D3112"/>
    <w:rsid w:val="1A365561"/>
    <w:rsid w:val="1ADE27F8"/>
    <w:rsid w:val="1B4F6593"/>
    <w:rsid w:val="1C4821C2"/>
    <w:rsid w:val="1CFC5199"/>
    <w:rsid w:val="1D446FAA"/>
    <w:rsid w:val="1E3B5814"/>
    <w:rsid w:val="1E3D379B"/>
    <w:rsid w:val="1EAE3051"/>
    <w:rsid w:val="1F0C3677"/>
    <w:rsid w:val="1F9F3F56"/>
    <w:rsid w:val="203C4199"/>
    <w:rsid w:val="20890FFB"/>
    <w:rsid w:val="21361327"/>
    <w:rsid w:val="22010E92"/>
    <w:rsid w:val="23B32B85"/>
    <w:rsid w:val="25CA24FD"/>
    <w:rsid w:val="26FB0B3A"/>
    <w:rsid w:val="271642A4"/>
    <w:rsid w:val="272956C9"/>
    <w:rsid w:val="27827C0A"/>
    <w:rsid w:val="27F45C45"/>
    <w:rsid w:val="2A6A5310"/>
    <w:rsid w:val="2BD51598"/>
    <w:rsid w:val="2BE244D2"/>
    <w:rsid w:val="2D0E17A4"/>
    <w:rsid w:val="2EB342F0"/>
    <w:rsid w:val="308D4E7A"/>
    <w:rsid w:val="30BD6FAE"/>
    <w:rsid w:val="346C1A44"/>
    <w:rsid w:val="34BE27CE"/>
    <w:rsid w:val="35F35112"/>
    <w:rsid w:val="36CB0E4A"/>
    <w:rsid w:val="37841070"/>
    <w:rsid w:val="37DE74BC"/>
    <w:rsid w:val="38067A5C"/>
    <w:rsid w:val="38A716BB"/>
    <w:rsid w:val="391E5344"/>
    <w:rsid w:val="3A1C5404"/>
    <w:rsid w:val="3C7230EB"/>
    <w:rsid w:val="3D1D4B4D"/>
    <w:rsid w:val="3D6E28E6"/>
    <w:rsid w:val="3F496F28"/>
    <w:rsid w:val="3F511FA6"/>
    <w:rsid w:val="4085663A"/>
    <w:rsid w:val="43734007"/>
    <w:rsid w:val="43DF544A"/>
    <w:rsid w:val="44E227EC"/>
    <w:rsid w:val="4502230B"/>
    <w:rsid w:val="45073CC8"/>
    <w:rsid w:val="45204823"/>
    <w:rsid w:val="453511DB"/>
    <w:rsid w:val="45620CB8"/>
    <w:rsid w:val="458F1D12"/>
    <w:rsid w:val="46030AC1"/>
    <w:rsid w:val="46967DD9"/>
    <w:rsid w:val="474309E8"/>
    <w:rsid w:val="48CC61CD"/>
    <w:rsid w:val="49B11188"/>
    <w:rsid w:val="4B2B57C8"/>
    <w:rsid w:val="4BB642D2"/>
    <w:rsid w:val="4CB91E81"/>
    <w:rsid w:val="51B36BBA"/>
    <w:rsid w:val="51C90738"/>
    <w:rsid w:val="52596589"/>
    <w:rsid w:val="532106B1"/>
    <w:rsid w:val="55A8445B"/>
    <w:rsid w:val="55BC3A32"/>
    <w:rsid w:val="571B3A63"/>
    <w:rsid w:val="582B2A32"/>
    <w:rsid w:val="59B97AC8"/>
    <w:rsid w:val="5BC01755"/>
    <w:rsid w:val="5C550F3B"/>
    <w:rsid w:val="5D2E448C"/>
    <w:rsid w:val="5D905F7C"/>
    <w:rsid w:val="5DA54219"/>
    <w:rsid w:val="603641F2"/>
    <w:rsid w:val="616B62BF"/>
    <w:rsid w:val="634B3913"/>
    <w:rsid w:val="635C397F"/>
    <w:rsid w:val="637D53EB"/>
    <w:rsid w:val="652741E9"/>
    <w:rsid w:val="65C105A4"/>
    <w:rsid w:val="66E524A3"/>
    <w:rsid w:val="67F171D9"/>
    <w:rsid w:val="6842133E"/>
    <w:rsid w:val="69A34D2D"/>
    <w:rsid w:val="6B387563"/>
    <w:rsid w:val="6C751956"/>
    <w:rsid w:val="6CBB6B19"/>
    <w:rsid w:val="6DBA71AA"/>
    <w:rsid w:val="6ECF3ED1"/>
    <w:rsid w:val="6FDB7902"/>
    <w:rsid w:val="70C55D3C"/>
    <w:rsid w:val="718E2E21"/>
    <w:rsid w:val="72E2383C"/>
    <w:rsid w:val="746C3B3D"/>
    <w:rsid w:val="74ED6E79"/>
    <w:rsid w:val="752236DB"/>
    <w:rsid w:val="77C33193"/>
    <w:rsid w:val="7EC23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widowControl/>
      <w:spacing w:line="300" w:lineRule="atLeast"/>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annotation reference"/>
    <w:basedOn w:val="11"/>
    <w:qFormat/>
    <w:uiPriority w:val="0"/>
    <w:rPr>
      <w:sz w:val="21"/>
      <w:szCs w:val="21"/>
    </w:rPr>
  </w:style>
  <w:style w:type="character" w:customStyle="1" w:styleId="14">
    <w:name w:val="页眉 字符"/>
    <w:link w:val="5"/>
    <w:qFormat/>
    <w:uiPriority w:val="0"/>
    <w:rPr>
      <w:kern w:val="2"/>
      <w:sz w:val="18"/>
      <w:szCs w:val="18"/>
    </w:rPr>
  </w:style>
  <w:style w:type="paragraph" w:customStyle="1" w:styleId="15">
    <w:name w:val="WPSOffice手动目录 1"/>
    <w:qFormat/>
    <w:uiPriority w:val="0"/>
    <w:rPr>
      <w:rFonts w:ascii="Times New Roman" w:hAnsi="Times New Roman" w:eastAsia="宋体" w:cs="Times New Roman"/>
      <w:lang w:val="en-US" w:eastAsia="zh-CN" w:bidi="ar-SA"/>
    </w:rPr>
  </w:style>
  <w:style w:type="paragraph" w:customStyle="1" w:styleId="16">
    <w:name w:val="WPSOffice手动目录 2"/>
    <w:qFormat/>
    <w:uiPriority w:val="0"/>
    <w:pPr>
      <w:ind w:left="200" w:leftChars="200"/>
    </w:pPr>
    <w:rPr>
      <w:rFonts w:ascii="Times New Roman" w:hAnsi="Times New Roman" w:eastAsia="宋体" w:cs="Times New Roman"/>
      <w:lang w:val="en-US" w:eastAsia="zh-CN" w:bidi="ar-SA"/>
    </w:rPr>
  </w:style>
  <w:style w:type="paragraph" w:styleId="17">
    <w:name w:val="No Spacing"/>
    <w:link w:val="18"/>
    <w:qFormat/>
    <w:uiPriority w:val="1"/>
    <w:rPr>
      <w:rFonts w:asciiTheme="minorHAnsi" w:hAnsiTheme="minorHAnsi" w:eastAsiaTheme="minorEastAsia" w:cstheme="minorBidi"/>
      <w:sz w:val="22"/>
      <w:szCs w:val="22"/>
      <w:lang w:val="en-US" w:eastAsia="zh-CN" w:bidi="ar-SA"/>
    </w:rPr>
  </w:style>
  <w:style w:type="character" w:customStyle="1" w:styleId="18">
    <w:name w:val="无间隔 字符"/>
    <w:basedOn w:val="11"/>
    <w:link w:val="17"/>
    <w:qFormat/>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csrcsh</Company>
  <Pages>24</Pages>
  <Words>1928</Words>
  <Characters>10994</Characters>
  <Lines>91</Lines>
  <Paragraphs>25</Paragraphs>
  <TotalTime>12</TotalTime>
  <ScaleCrop>false</ScaleCrop>
  <LinksUpToDate>false</LinksUpToDate>
  <CharactersWithSpaces>12897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王灏瑄</cp:lastModifiedBy>
  <cp:lastPrinted>2021-04-27T07:14:00Z</cp:lastPrinted>
  <dcterms:modified xsi:type="dcterms:W3CDTF">2021-04-28T07:31:55Z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43AC139006D64899AEADB721A329719C</vt:lpwstr>
  </property>
</Properties>
</file>