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1044"/>
        <w:jc w:val="center"/>
        <w:rPr>
          <w:rFonts w:ascii="宋体" w:hAnsi="宋体"/>
          <w:b/>
          <w:sz w:val="52"/>
          <w:szCs w:val="52"/>
        </w:rPr>
      </w:pPr>
    </w:p>
    <w:p>
      <w:pPr>
        <w:spacing w:line="600" w:lineRule="auto"/>
        <w:ind w:firstLine="1044"/>
        <w:jc w:val="center"/>
        <w:rPr>
          <w:rFonts w:ascii="宋体" w:hAnsi="宋体"/>
          <w:b/>
          <w:sz w:val="52"/>
          <w:szCs w:val="52"/>
        </w:rPr>
      </w:pPr>
    </w:p>
    <w:p>
      <w:pPr>
        <w:spacing w:line="600" w:lineRule="auto"/>
        <w:ind w:firstLine="1044"/>
        <w:jc w:val="center"/>
        <w:rPr>
          <w:rFonts w:ascii="宋体" w:hAnsi="宋体"/>
          <w:b/>
          <w:sz w:val="52"/>
          <w:szCs w:val="52"/>
        </w:rPr>
      </w:pPr>
    </w:p>
    <w:p>
      <w:pPr>
        <w:spacing w:line="600" w:lineRule="auto"/>
        <w:jc w:val="center"/>
        <w:rPr>
          <w:rFonts w:ascii="黑体" w:hAnsi="黑体" w:eastAsia="黑体"/>
          <w:sz w:val="48"/>
          <w:szCs w:val="48"/>
        </w:rPr>
      </w:pPr>
      <w:r>
        <w:rPr>
          <w:rFonts w:hint="eastAsia" w:ascii="黑体" w:hAnsi="黑体" w:eastAsia="黑体"/>
          <w:sz w:val="48"/>
          <w:szCs w:val="48"/>
        </w:rPr>
        <w:t>新湖期货</w:t>
      </w:r>
      <w:r>
        <w:rPr>
          <w:rFonts w:hint="eastAsia" w:ascii="黑体" w:hAnsi="黑体" w:eastAsia="黑体"/>
          <w:sz w:val="48"/>
          <w:szCs w:val="48"/>
          <w:lang w:val="en-US" w:eastAsia="zh-CN"/>
        </w:rPr>
        <w:t>股份</w:t>
      </w:r>
      <w:r>
        <w:rPr>
          <w:rFonts w:hint="eastAsia" w:ascii="黑体" w:hAnsi="黑体" w:eastAsia="黑体"/>
          <w:sz w:val="48"/>
          <w:szCs w:val="48"/>
        </w:rPr>
        <w:t>有限公司</w:t>
      </w:r>
    </w:p>
    <w:p>
      <w:pPr>
        <w:spacing w:line="600" w:lineRule="auto"/>
        <w:jc w:val="center"/>
        <w:rPr>
          <w:rFonts w:ascii="黑体" w:hAnsi="黑体" w:eastAsia="黑体"/>
          <w:sz w:val="48"/>
          <w:szCs w:val="48"/>
        </w:rPr>
      </w:pPr>
      <w:r>
        <w:rPr>
          <w:rFonts w:ascii="黑体" w:hAnsi="黑体" w:eastAsia="黑体"/>
          <w:sz w:val="48"/>
          <w:szCs w:val="48"/>
        </w:rPr>
        <w:t>20</w:t>
      </w:r>
      <w:r>
        <w:rPr>
          <w:rFonts w:hint="eastAsia" w:ascii="黑体" w:hAnsi="黑体" w:eastAsia="黑体"/>
          <w:sz w:val="48"/>
          <w:szCs w:val="48"/>
          <w:lang w:val="en-US" w:eastAsia="zh-CN"/>
        </w:rPr>
        <w:t>20年</w:t>
      </w:r>
      <w:r>
        <w:rPr>
          <w:rFonts w:hint="eastAsia" w:ascii="黑体" w:hAnsi="黑体" w:eastAsia="黑体"/>
          <w:sz w:val="48"/>
          <w:szCs w:val="48"/>
        </w:rPr>
        <w:t>度社会责任报告</w:t>
      </w:r>
    </w:p>
    <w:p>
      <w:pPr>
        <w:spacing w:line="720" w:lineRule="auto"/>
        <w:ind w:firstLine="640"/>
        <w:jc w:val="center"/>
        <w:rPr>
          <w:rFonts w:ascii="宋体" w:hAnsi="宋体"/>
          <w:sz w:val="32"/>
          <w:szCs w:val="32"/>
        </w:rPr>
      </w:pPr>
    </w:p>
    <w:p>
      <w:pPr>
        <w:spacing w:line="720" w:lineRule="auto"/>
        <w:ind w:firstLine="640"/>
        <w:jc w:val="center"/>
        <w:rPr>
          <w:rFonts w:ascii="宋体" w:hAnsi="宋体"/>
          <w:sz w:val="32"/>
          <w:szCs w:val="32"/>
        </w:rPr>
      </w:pPr>
    </w:p>
    <w:p>
      <w:pPr>
        <w:spacing w:line="720" w:lineRule="auto"/>
        <w:ind w:firstLine="640"/>
        <w:jc w:val="center"/>
        <w:rPr>
          <w:rFonts w:ascii="宋体" w:hAnsi="宋体"/>
          <w:sz w:val="32"/>
          <w:szCs w:val="32"/>
        </w:rPr>
      </w:pPr>
    </w:p>
    <w:p>
      <w:pPr>
        <w:spacing w:line="720" w:lineRule="auto"/>
        <w:rPr>
          <w:rFonts w:ascii="宋体" w:hAnsi="宋体"/>
          <w:sz w:val="32"/>
          <w:szCs w:val="32"/>
        </w:rPr>
      </w:pPr>
    </w:p>
    <w:p>
      <w:pPr>
        <w:spacing w:line="720" w:lineRule="auto"/>
        <w:rPr>
          <w:rFonts w:ascii="宋体" w:hAnsi="宋体"/>
          <w:sz w:val="32"/>
          <w:szCs w:val="32"/>
        </w:rPr>
      </w:pPr>
    </w:p>
    <w:p>
      <w:pPr>
        <w:spacing w:line="720" w:lineRule="auto"/>
        <w:rPr>
          <w:rFonts w:ascii="宋体" w:hAnsi="宋体"/>
          <w:sz w:val="32"/>
          <w:szCs w:val="32"/>
        </w:rPr>
      </w:pPr>
    </w:p>
    <w:p>
      <w:pPr>
        <w:spacing w:line="720" w:lineRule="auto"/>
        <w:ind w:firstLine="640"/>
        <w:jc w:val="center"/>
        <w:rPr>
          <w:rFonts w:ascii="宋体" w:hAnsi="宋体"/>
          <w:sz w:val="32"/>
          <w:szCs w:val="32"/>
        </w:rPr>
      </w:pPr>
      <w:r>
        <w:rPr>
          <w:rFonts w:hint="eastAsia" w:ascii="宋体" w:hAnsi="宋体"/>
          <w:sz w:val="32"/>
          <w:szCs w:val="32"/>
        </w:rPr>
        <w:drawing>
          <wp:anchor distT="0" distB="0" distL="114300" distR="114300" simplePos="0" relativeHeight="251659264" behindDoc="0" locked="0" layoutInCell="1" allowOverlap="1">
            <wp:simplePos x="0" y="0"/>
            <wp:positionH relativeFrom="margin">
              <wp:posOffset>2075180</wp:posOffset>
            </wp:positionH>
            <wp:positionV relativeFrom="paragraph">
              <wp:posOffset>205105</wp:posOffset>
            </wp:positionV>
            <wp:extent cx="1105535" cy="355600"/>
            <wp:effectExtent l="0" t="0" r="6985" b="1016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preferRelativeResize="0">
                      <a:picLocks noChangeAspect="1"/>
                    </pic:cNvPicPr>
                  </pic:nvPicPr>
                  <pic:blipFill>
                    <a:blip r:embed="rId8"/>
                    <a:stretch>
                      <a:fillRect/>
                    </a:stretch>
                  </pic:blipFill>
                  <pic:spPr>
                    <a:xfrm>
                      <a:off x="0" y="0"/>
                      <a:ext cx="1105535" cy="355600"/>
                    </a:xfrm>
                    <a:prstGeom prst="rect">
                      <a:avLst/>
                    </a:prstGeom>
                    <a:noFill/>
                    <a:ln>
                      <a:noFill/>
                    </a:ln>
                  </pic:spPr>
                </pic:pic>
              </a:graphicData>
            </a:graphic>
          </wp:anchor>
        </w:drawing>
      </w:r>
    </w:p>
    <w:p>
      <w:pPr>
        <w:rPr>
          <w:rFonts w:ascii="宋体" w:hAnsi="宋体"/>
          <w:b/>
          <w:sz w:val="36"/>
          <w:szCs w:val="36"/>
        </w:rPr>
      </w:pPr>
    </w:p>
    <w:p>
      <w:pPr>
        <w:jc w:val="center"/>
        <w:rPr>
          <w:rFonts w:ascii="黑体" w:hAnsi="黑体" w:eastAsia="黑体"/>
          <w:sz w:val="32"/>
          <w:szCs w:val="32"/>
        </w:rPr>
      </w:pPr>
      <w:r>
        <w:rPr>
          <w:rFonts w:hint="eastAsia" w:ascii="黑体" w:hAnsi="黑体" w:eastAsia="黑体"/>
          <w:sz w:val="32"/>
          <w:szCs w:val="32"/>
        </w:rPr>
        <w:t>二〇</w:t>
      </w:r>
      <w:r>
        <w:rPr>
          <w:rFonts w:hint="eastAsia" w:ascii="黑体" w:hAnsi="黑体" w:eastAsia="黑体"/>
          <w:sz w:val="32"/>
          <w:szCs w:val="32"/>
          <w:lang w:val="en-US" w:eastAsia="zh-CN"/>
        </w:rPr>
        <w:t>二一</w:t>
      </w:r>
      <w:r>
        <w:rPr>
          <w:rFonts w:hint="eastAsia" w:ascii="黑体" w:hAnsi="黑体" w:eastAsia="黑体"/>
          <w:sz w:val="32"/>
          <w:szCs w:val="32"/>
        </w:rPr>
        <w:t>年四月</w:t>
      </w:r>
    </w:p>
    <w:p>
      <w:pPr>
        <w:jc w:val="center"/>
        <w:rPr>
          <w:rFonts w:ascii="黑体" w:hAnsi="黑体" w:eastAsia="黑体"/>
          <w:sz w:val="32"/>
          <w:szCs w:val="32"/>
        </w:rPr>
      </w:pPr>
    </w:p>
    <w:p>
      <w:pPr>
        <w:jc w:val="center"/>
        <w:rPr>
          <w:rFonts w:ascii="黑体" w:hAnsi="黑体" w:eastAsia="黑体"/>
          <w:sz w:val="32"/>
          <w:szCs w:val="32"/>
        </w:rPr>
      </w:pPr>
    </w:p>
    <w:p>
      <w:pPr>
        <w:pStyle w:val="28"/>
        <w:jc w:val="center"/>
        <w:rPr>
          <w:rFonts w:ascii="宋体" w:hAnsi="宋体"/>
          <w:b/>
          <w:color w:val="auto"/>
          <w:sz w:val="32"/>
          <w:szCs w:val="32"/>
          <w:lang w:val="zh-CN"/>
        </w:rPr>
      </w:pPr>
      <w:r>
        <w:rPr>
          <w:rFonts w:ascii="宋体" w:hAnsi="宋体"/>
          <w:b/>
          <w:color w:val="auto"/>
          <w:sz w:val="32"/>
          <w:szCs w:val="32"/>
          <w:lang w:val="zh-CN"/>
        </w:rPr>
        <w:t>目</w:t>
      </w:r>
      <w:r>
        <w:rPr>
          <w:rFonts w:hint="eastAsia" w:ascii="宋体" w:hAnsi="宋体"/>
          <w:b/>
          <w:color w:val="auto"/>
          <w:sz w:val="32"/>
          <w:szCs w:val="32"/>
          <w:lang w:val="zh-CN"/>
        </w:rPr>
        <w:t xml:space="preserve">   </w:t>
      </w:r>
      <w:r>
        <w:rPr>
          <w:rFonts w:ascii="宋体" w:hAnsi="宋体"/>
          <w:b/>
          <w:color w:val="auto"/>
          <w:sz w:val="32"/>
          <w:szCs w:val="32"/>
          <w:lang w:val="zh-CN"/>
        </w:rPr>
        <w:t>录</w:t>
      </w:r>
    </w:p>
    <w:p>
      <w:pPr>
        <w:rPr>
          <w:lang w:val="zh-CN"/>
        </w:rPr>
      </w:pPr>
    </w:p>
    <w:p>
      <w:pPr>
        <w:rPr>
          <w:rFonts w:ascii="Calibri" w:hAnsi="Calibri" w:cs="宋体"/>
          <w:szCs w:val="22"/>
          <w:lang w:val="zh-CN"/>
        </w:rPr>
      </w:pPr>
    </w:p>
    <w:p>
      <w:pPr>
        <w:pStyle w:val="15"/>
        <w:tabs>
          <w:tab w:val="right" w:leader="dot" w:pos="8296"/>
        </w:tabs>
        <w:rPr>
          <w:rFonts w:asciiTheme="minorHAnsi" w:hAnsiTheme="minorHAnsi" w:eastAsiaTheme="minorEastAsia" w:cstheme="minorBidi"/>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"_Toc38626378" </w:instrText>
      </w:r>
      <w:r>
        <w:fldChar w:fldCharType="separate"/>
      </w:r>
      <w:r>
        <w:rPr>
          <w:rStyle w:val="25"/>
          <w:sz w:val="28"/>
          <w:szCs w:val="28"/>
        </w:rPr>
        <w:t xml:space="preserve">1. </w:t>
      </w:r>
      <w:r>
        <w:rPr>
          <w:rStyle w:val="25"/>
          <w:rFonts w:hint="eastAsia"/>
          <w:sz w:val="28"/>
          <w:szCs w:val="28"/>
        </w:rPr>
        <w:t>本报告编写说明</w:t>
      </w:r>
      <w:bookmarkStart w:id="35" w:name="_GoBack"/>
      <w:bookmarkEnd w:id="35"/>
      <w:r>
        <w:rPr>
          <w:sz w:val="28"/>
          <w:szCs w:val="28"/>
        </w:rPr>
        <w:tab/>
      </w:r>
      <w:r>
        <w:rPr>
          <w:sz w:val="28"/>
          <w:szCs w:val="28"/>
        </w:rPr>
        <w:fldChar w:fldCharType="begin"/>
      </w:r>
      <w:r>
        <w:rPr>
          <w:sz w:val="28"/>
          <w:szCs w:val="28"/>
        </w:rPr>
        <w:instrText xml:space="preserve"> PAGEREF _Toc38626378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296"/>
        </w:tabs>
        <w:rPr>
          <w:rFonts w:hint="eastAsia" w:eastAsia="宋体" w:asciiTheme="minorHAnsi" w:hAnsiTheme="minorHAnsi" w:cstheme="minorBidi"/>
          <w:sz w:val="28"/>
          <w:szCs w:val="28"/>
          <w:lang w:val="en-US" w:eastAsia="zh-CN"/>
        </w:rPr>
      </w:pPr>
      <w:r>
        <w:fldChar w:fldCharType="begin"/>
      </w:r>
      <w:r>
        <w:instrText xml:space="preserve"> HYPERLINK \l "_Toc38626379" </w:instrText>
      </w:r>
      <w:r>
        <w:fldChar w:fldCharType="separate"/>
      </w:r>
      <w:r>
        <w:rPr>
          <w:rStyle w:val="25"/>
          <w:sz w:val="28"/>
          <w:szCs w:val="28"/>
        </w:rPr>
        <w:t xml:space="preserve">2. </w:t>
      </w:r>
      <w:r>
        <w:rPr>
          <w:rStyle w:val="25"/>
          <w:rFonts w:hint="eastAsia"/>
          <w:sz w:val="28"/>
          <w:szCs w:val="28"/>
        </w:rPr>
        <w:t>公司愿景与</w:t>
      </w:r>
      <w:r>
        <w:rPr>
          <w:rStyle w:val="25"/>
          <w:rFonts w:hint="eastAsia"/>
          <w:sz w:val="28"/>
          <w:szCs w:val="28"/>
          <w:lang w:val="en-US"/>
        </w:rPr>
        <w:t>发展战略</w:t>
      </w:r>
      <w:r>
        <w:rPr>
          <w:sz w:val="28"/>
          <w:szCs w:val="28"/>
        </w:rPr>
        <w:tab/>
      </w:r>
      <w:r>
        <w:rPr>
          <w:sz w:val="28"/>
          <w:szCs w:val="28"/>
        </w:rPr>
        <w:fldChar w:fldCharType="end"/>
      </w:r>
      <w:r>
        <w:rPr>
          <w:rFonts w:hint="eastAsia"/>
          <w:sz w:val="28"/>
          <w:szCs w:val="28"/>
          <w:lang w:val="en-US" w:eastAsia="zh-CN"/>
        </w:rPr>
        <w:t>1</w:t>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"_Toc38626380" </w:instrText>
      </w:r>
      <w:r>
        <w:fldChar w:fldCharType="separate"/>
      </w:r>
      <w:r>
        <w:rPr>
          <w:rStyle w:val="25"/>
          <w:sz w:val="28"/>
          <w:szCs w:val="28"/>
        </w:rPr>
        <w:t xml:space="preserve">2.1 </w:t>
      </w:r>
      <w:r>
        <w:rPr>
          <w:rStyle w:val="25"/>
          <w:rFonts w:hint="eastAsia"/>
          <w:sz w:val="28"/>
          <w:szCs w:val="28"/>
        </w:rPr>
        <w:t>公司愿景和与社会责任定位</w:t>
      </w:r>
      <w:r>
        <w:rPr>
          <w:sz w:val="28"/>
          <w:szCs w:val="28"/>
        </w:rPr>
        <w:tab/>
      </w:r>
      <w:r>
        <w:rPr>
          <w:sz w:val="28"/>
          <w:szCs w:val="28"/>
        </w:rPr>
        <w:fldChar w:fldCharType="begin"/>
      </w:r>
      <w:r>
        <w:rPr>
          <w:sz w:val="28"/>
          <w:szCs w:val="28"/>
        </w:rPr>
        <w:instrText xml:space="preserve"> PAGEREF _Toc38626380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"_Toc38626381" </w:instrText>
      </w:r>
      <w:r>
        <w:fldChar w:fldCharType="separate"/>
      </w:r>
      <w:r>
        <w:rPr>
          <w:rStyle w:val="25"/>
          <w:sz w:val="28"/>
          <w:szCs w:val="28"/>
        </w:rPr>
        <w:t xml:space="preserve">2.2 </w:t>
      </w:r>
      <w:r>
        <w:rPr>
          <w:rStyle w:val="25"/>
          <w:rFonts w:hint="eastAsia"/>
          <w:sz w:val="28"/>
          <w:szCs w:val="28"/>
        </w:rPr>
        <w:t>公司使命和价值观陈述</w:t>
      </w:r>
      <w:r>
        <w:rPr>
          <w:sz w:val="28"/>
          <w:szCs w:val="28"/>
        </w:rPr>
        <w:tab/>
      </w:r>
      <w:r>
        <w:rPr>
          <w:sz w:val="28"/>
          <w:szCs w:val="28"/>
        </w:rPr>
        <w:fldChar w:fldCharType="begin"/>
      </w:r>
      <w:r>
        <w:rPr>
          <w:sz w:val="28"/>
          <w:szCs w:val="28"/>
        </w:rPr>
        <w:instrText xml:space="preserve"> PAGEREF _Toc38626381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"_Toc38626382" </w:instrText>
      </w:r>
      <w:r>
        <w:fldChar w:fldCharType="separate"/>
      </w:r>
      <w:r>
        <w:rPr>
          <w:rStyle w:val="25"/>
          <w:sz w:val="28"/>
          <w:szCs w:val="28"/>
        </w:rPr>
        <w:t xml:space="preserve">2.3 </w:t>
      </w:r>
      <w:r>
        <w:rPr>
          <w:rStyle w:val="25"/>
          <w:rFonts w:hint="eastAsia"/>
          <w:sz w:val="28"/>
          <w:szCs w:val="28"/>
        </w:rPr>
        <w:t>公司对社会责任的认识与定位</w:t>
      </w:r>
      <w:r>
        <w:rPr>
          <w:sz w:val="28"/>
          <w:szCs w:val="28"/>
        </w:rPr>
        <w:tab/>
      </w:r>
      <w:r>
        <w:rPr>
          <w:sz w:val="28"/>
          <w:szCs w:val="28"/>
        </w:rPr>
        <w:fldChar w:fldCharType="begin"/>
      </w:r>
      <w:r>
        <w:rPr>
          <w:sz w:val="28"/>
          <w:szCs w:val="28"/>
        </w:rPr>
        <w:instrText xml:space="preserve"> PAGEREF _Toc38626382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"_Toc38626383" </w:instrText>
      </w:r>
      <w:r>
        <w:fldChar w:fldCharType="separate"/>
      </w:r>
      <w:r>
        <w:rPr>
          <w:rStyle w:val="25"/>
          <w:sz w:val="28"/>
          <w:szCs w:val="28"/>
        </w:rPr>
        <w:t xml:space="preserve">2.4 </w:t>
      </w:r>
      <w:r>
        <w:rPr>
          <w:rStyle w:val="25"/>
          <w:rFonts w:hint="eastAsia"/>
          <w:sz w:val="28"/>
          <w:szCs w:val="28"/>
        </w:rPr>
        <w:t>公司董事长致辞</w:t>
      </w:r>
      <w:r>
        <w:rPr>
          <w:sz w:val="28"/>
          <w:szCs w:val="28"/>
        </w:rPr>
        <w:tab/>
      </w:r>
      <w:r>
        <w:rPr>
          <w:sz w:val="28"/>
          <w:szCs w:val="28"/>
        </w:rPr>
        <w:fldChar w:fldCharType="begin"/>
      </w:r>
      <w:r>
        <w:rPr>
          <w:sz w:val="28"/>
          <w:szCs w:val="28"/>
        </w:rPr>
        <w:instrText xml:space="preserve"> PAGEREF _Toc38626383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"_Toc38626384" </w:instrText>
      </w:r>
      <w:r>
        <w:fldChar w:fldCharType="separate"/>
      </w:r>
      <w:r>
        <w:rPr>
          <w:rStyle w:val="25"/>
          <w:sz w:val="28"/>
          <w:szCs w:val="28"/>
        </w:rPr>
        <w:t xml:space="preserve">3. </w:t>
      </w:r>
      <w:r>
        <w:rPr>
          <w:rStyle w:val="25"/>
          <w:rFonts w:hint="eastAsia"/>
          <w:sz w:val="28"/>
          <w:szCs w:val="28"/>
        </w:rPr>
        <w:t>公司概况</w:t>
      </w:r>
      <w:r>
        <w:rPr>
          <w:sz w:val="28"/>
          <w:szCs w:val="28"/>
        </w:rPr>
        <w:tab/>
      </w:r>
      <w:r>
        <w:rPr>
          <w:sz w:val="28"/>
          <w:szCs w:val="28"/>
        </w:rPr>
        <w:fldChar w:fldCharType="begin"/>
      </w:r>
      <w:r>
        <w:rPr>
          <w:sz w:val="28"/>
          <w:szCs w:val="28"/>
        </w:rPr>
        <w:instrText xml:space="preserve"> PAGEREF _Toc38626384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"_Toc38626385" </w:instrText>
      </w:r>
      <w:r>
        <w:fldChar w:fldCharType="separate"/>
      </w:r>
      <w:r>
        <w:rPr>
          <w:rStyle w:val="25"/>
          <w:sz w:val="28"/>
          <w:szCs w:val="28"/>
        </w:rPr>
        <w:t>3.1</w:t>
      </w:r>
      <w:r>
        <w:rPr>
          <w:rStyle w:val="25"/>
          <w:rFonts w:hint="eastAsia"/>
          <w:sz w:val="28"/>
          <w:szCs w:val="28"/>
        </w:rPr>
        <w:t>公司概况</w:t>
      </w:r>
      <w:r>
        <w:rPr>
          <w:sz w:val="28"/>
          <w:szCs w:val="28"/>
        </w:rPr>
        <w:tab/>
      </w:r>
      <w:r>
        <w:rPr>
          <w:sz w:val="28"/>
          <w:szCs w:val="28"/>
        </w:rPr>
        <w:fldChar w:fldCharType="begin"/>
      </w:r>
      <w:r>
        <w:rPr>
          <w:sz w:val="28"/>
          <w:szCs w:val="28"/>
        </w:rPr>
        <w:instrText xml:space="preserve"> PAGEREF _Toc38626385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"_Toc38626386" </w:instrText>
      </w:r>
      <w:r>
        <w:fldChar w:fldCharType="separate"/>
      </w:r>
      <w:r>
        <w:rPr>
          <w:rStyle w:val="25"/>
          <w:sz w:val="28"/>
          <w:szCs w:val="28"/>
        </w:rPr>
        <w:t xml:space="preserve">3.2 </w:t>
      </w:r>
      <w:r>
        <w:rPr>
          <w:rStyle w:val="25"/>
          <w:rFonts w:hint="eastAsia"/>
          <w:sz w:val="28"/>
          <w:szCs w:val="28"/>
        </w:rPr>
        <w:t>公司基本情况</w:t>
      </w:r>
      <w:r>
        <w:rPr>
          <w:sz w:val="28"/>
          <w:szCs w:val="28"/>
        </w:rPr>
        <w:tab/>
      </w:r>
      <w:r>
        <w:rPr>
          <w:sz w:val="28"/>
          <w:szCs w:val="28"/>
        </w:rPr>
        <w:fldChar w:fldCharType="begin"/>
      </w:r>
      <w:r>
        <w:rPr>
          <w:sz w:val="28"/>
          <w:szCs w:val="28"/>
        </w:rPr>
        <w:instrText xml:space="preserve"> PAGEREF _Toc38626386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"_Toc38626387" </w:instrText>
      </w:r>
      <w:r>
        <w:fldChar w:fldCharType="separate"/>
      </w:r>
      <w:r>
        <w:rPr>
          <w:rStyle w:val="25"/>
          <w:sz w:val="28"/>
          <w:szCs w:val="28"/>
        </w:rPr>
        <w:t xml:space="preserve">3.3 </w:t>
      </w:r>
      <w:r>
        <w:rPr>
          <w:rStyle w:val="25"/>
          <w:rFonts w:hint="eastAsia"/>
          <w:sz w:val="28"/>
          <w:szCs w:val="28"/>
        </w:rPr>
        <w:t>公司大事记</w:t>
      </w:r>
      <w:r>
        <w:rPr>
          <w:sz w:val="28"/>
          <w:szCs w:val="28"/>
        </w:rPr>
        <w:tab/>
      </w:r>
      <w:r>
        <w:rPr>
          <w:sz w:val="28"/>
          <w:szCs w:val="28"/>
        </w:rPr>
        <w:fldChar w:fldCharType="begin"/>
      </w:r>
      <w:r>
        <w:rPr>
          <w:sz w:val="28"/>
          <w:szCs w:val="28"/>
        </w:rPr>
        <w:instrText xml:space="preserve"> PAGEREF _Toc38626387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"_Toc38626388" </w:instrText>
      </w:r>
      <w:r>
        <w:fldChar w:fldCharType="separate"/>
      </w:r>
      <w:r>
        <w:rPr>
          <w:rStyle w:val="25"/>
          <w:sz w:val="28"/>
          <w:szCs w:val="28"/>
        </w:rPr>
        <w:t xml:space="preserve">3.4 </w:t>
      </w:r>
      <w:r>
        <w:rPr>
          <w:rStyle w:val="25"/>
          <w:rFonts w:hint="eastAsia"/>
          <w:sz w:val="28"/>
          <w:szCs w:val="28"/>
        </w:rPr>
        <w:t>公司利益相关者关系</w:t>
      </w:r>
      <w:r>
        <w:rPr>
          <w:sz w:val="28"/>
          <w:szCs w:val="28"/>
        </w:rPr>
        <w:tab/>
      </w:r>
      <w:r>
        <w:rPr>
          <w:sz w:val="28"/>
          <w:szCs w:val="28"/>
        </w:rPr>
        <w:fldChar w:fldCharType="begin"/>
      </w:r>
      <w:r>
        <w:rPr>
          <w:sz w:val="28"/>
          <w:szCs w:val="28"/>
        </w:rPr>
        <w:instrText xml:space="preserve"> PAGEREF _Toc38626388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"_Toc38626389" </w:instrText>
      </w:r>
      <w:r>
        <w:fldChar w:fldCharType="separate"/>
      </w:r>
      <w:r>
        <w:rPr>
          <w:rStyle w:val="25"/>
          <w:sz w:val="28"/>
          <w:szCs w:val="28"/>
        </w:rPr>
        <w:t>3.5</w:t>
      </w:r>
      <w:r>
        <w:rPr>
          <w:rStyle w:val="25"/>
          <w:rFonts w:hint="eastAsia"/>
          <w:sz w:val="28"/>
          <w:szCs w:val="28"/>
        </w:rPr>
        <w:t>本报告内容的范围和概况</w:t>
      </w:r>
      <w:r>
        <w:rPr>
          <w:sz w:val="28"/>
          <w:szCs w:val="28"/>
        </w:rPr>
        <w:tab/>
      </w:r>
      <w:r>
        <w:rPr>
          <w:sz w:val="28"/>
          <w:szCs w:val="28"/>
        </w:rPr>
        <w:fldChar w:fldCharType="begin"/>
      </w:r>
      <w:r>
        <w:rPr>
          <w:sz w:val="28"/>
          <w:szCs w:val="28"/>
        </w:rPr>
        <w:instrText xml:space="preserve"> PAGEREF _Toc38626389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"_Toc38626390" </w:instrText>
      </w:r>
      <w:r>
        <w:fldChar w:fldCharType="separate"/>
      </w:r>
      <w:r>
        <w:rPr>
          <w:rStyle w:val="25"/>
          <w:sz w:val="28"/>
          <w:szCs w:val="28"/>
        </w:rPr>
        <w:t xml:space="preserve">4. </w:t>
      </w:r>
      <w:r>
        <w:rPr>
          <w:rStyle w:val="25"/>
          <w:rFonts w:hint="eastAsia"/>
          <w:sz w:val="28"/>
          <w:szCs w:val="28"/>
        </w:rPr>
        <w:t>公司治理结构与管理体制</w:t>
      </w:r>
      <w:r>
        <w:rPr>
          <w:sz w:val="28"/>
          <w:szCs w:val="28"/>
        </w:rPr>
        <w:tab/>
      </w:r>
      <w:r>
        <w:rPr>
          <w:sz w:val="28"/>
          <w:szCs w:val="28"/>
        </w:rPr>
        <w:fldChar w:fldCharType="begin"/>
      </w:r>
      <w:r>
        <w:rPr>
          <w:sz w:val="28"/>
          <w:szCs w:val="28"/>
        </w:rPr>
        <w:instrText xml:space="preserve"> PAGEREF _Toc38626390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"_Toc38626391" </w:instrText>
      </w:r>
      <w:r>
        <w:fldChar w:fldCharType="separate"/>
      </w:r>
      <w:r>
        <w:rPr>
          <w:rStyle w:val="25"/>
          <w:sz w:val="28"/>
          <w:szCs w:val="28"/>
        </w:rPr>
        <w:t xml:space="preserve">4.1 </w:t>
      </w:r>
      <w:r>
        <w:rPr>
          <w:rStyle w:val="25"/>
          <w:rFonts w:hint="eastAsia"/>
          <w:sz w:val="28"/>
          <w:szCs w:val="28"/>
        </w:rPr>
        <w:t>完善法人治理</w:t>
      </w:r>
      <w:r>
        <w:rPr>
          <w:sz w:val="28"/>
          <w:szCs w:val="28"/>
        </w:rPr>
        <w:tab/>
      </w:r>
      <w:r>
        <w:rPr>
          <w:sz w:val="28"/>
          <w:szCs w:val="28"/>
        </w:rPr>
        <w:fldChar w:fldCharType="begin"/>
      </w:r>
      <w:r>
        <w:rPr>
          <w:sz w:val="28"/>
          <w:szCs w:val="28"/>
        </w:rPr>
        <w:instrText xml:space="preserve"> PAGEREF _Toc38626391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"_Toc38626392" </w:instrText>
      </w:r>
      <w:r>
        <w:fldChar w:fldCharType="separate"/>
      </w:r>
      <w:r>
        <w:rPr>
          <w:rStyle w:val="25"/>
          <w:sz w:val="28"/>
          <w:szCs w:val="28"/>
        </w:rPr>
        <w:t xml:space="preserve">4.2 </w:t>
      </w:r>
      <w:r>
        <w:rPr>
          <w:rStyle w:val="25"/>
          <w:rFonts w:hint="eastAsia"/>
          <w:sz w:val="28"/>
          <w:szCs w:val="28"/>
        </w:rPr>
        <w:t>董事、监事、高级管理人员情况</w:t>
      </w:r>
      <w:r>
        <w:rPr>
          <w:sz w:val="28"/>
          <w:szCs w:val="28"/>
        </w:rPr>
        <w:tab/>
      </w:r>
      <w:r>
        <w:rPr>
          <w:sz w:val="28"/>
          <w:szCs w:val="28"/>
        </w:rPr>
        <w:fldChar w:fldCharType="begin"/>
      </w:r>
      <w:r>
        <w:rPr>
          <w:sz w:val="28"/>
          <w:szCs w:val="28"/>
        </w:rPr>
        <w:instrText xml:space="preserve"> PAGEREF _Toc38626392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"_Toc38626393" </w:instrText>
      </w:r>
      <w:r>
        <w:fldChar w:fldCharType="separate"/>
      </w:r>
      <w:r>
        <w:rPr>
          <w:rStyle w:val="25"/>
          <w:sz w:val="28"/>
          <w:szCs w:val="28"/>
        </w:rPr>
        <w:t xml:space="preserve">4.3 </w:t>
      </w:r>
      <w:r>
        <w:rPr>
          <w:rStyle w:val="25"/>
          <w:rFonts w:hint="eastAsia"/>
          <w:sz w:val="28"/>
          <w:szCs w:val="28"/>
        </w:rPr>
        <w:t>与经济、环境和社会业绩相关的政策及其实施情况</w:t>
      </w:r>
      <w:r>
        <w:rPr>
          <w:sz w:val="28"/>
          <w:szCs w:val="28"/>
        </w:rPr>
        <w:tab/>
      </w:r>
      <w:r>
        <w:rPr>
          <w:sz w:val="28"/>
          <w:szCs w:val="28"/>
        </w:rPr>
        <w:fldChar w:fldCharType="begin"/>
      </w:r>
      <w:r>
        <w:rPr>
          <w:sz w:val="28"/>
          <w:szCs w:val="28"/>
        </w:rPr>
        <w:instrText xml:space="preserve"> PAGEREF _Toc38626393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"_Toc38626394" </w:instrText>
      </w:r>
      <w:r>
        <w:fldChar w:fldCharType="separate"/>
      </w:r>
      <w:r>
        <w:rPr>
          <w:rStyle w:val="25"/>
          <w:sz w:val="28"/>
          <w:szCs w:val="28"/>
        </w:rPr>
        <w:t xml:space="preserve">4.4 </w:t>
      </w:r>
      <w:r>
        <w:rPr>
          <w:rStyle w:val="25"/>
          <w:rFonts w:hint="eastAsia"/>
          <w:sz w:val="28"/>
          <w:szCs w:val="28"/>
        </w:rPr>
        <w:t>利益相关者</w:t>
      </w:r>
      <w:r>
        <w:rPr>
          <w:sz w:val="28"/>
          <w:szCs w:val="28"/>
        </w:rPr>
        <w:tab/>
      </w:r>
      <w:r>
        <w:rPr>
          <w:sz w:val="28"/>
          <w:szCs w:val="28"/>
        </w:rPr>
        <w:fldChar w:fldCharType="begin"/>
      </w:r>
      <w:r>
        <w:rPr>
          <w:sz w:val="28"/>
          <w:szCs w:val="28"/>
        </w:rPr>
        <w:instrText xml:space="preserve"> PAGEREF _Toc38626394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"_Toc38626395" </w:instrText>
      </w:r>
      <w:r>
        <w:fldChar w:fldCharType="separate"/>
      </w:r>
      <w:r>
        <w:rPr>
          <w:rStyle w:val="25"/>
          <w:sz w:val="28"/>
          <w:szCs w:val="28"/>
        </w:rPr>
        <w:t xml:space="preserve">5. </w:t>
      </w:r>
      <w:r>
        <w:rPr>
          <w:rStyle w:val="25"/>
          <w:rFonts w:hint="eastAsia"/>
          <w:sz w:val="28"/>
          <w:szCs w:val="28"/>
        </w:rPr>
        <w:t>经济责任与业绩</w:t>
      </w:r>
      <w:r>
        <w:rPr>
          <w:sz w:val="28"/>
          <w:szCs w:val="28"/>
        </w:rPr>
        <w:tab/>
      </w:r>
      <w:r>
        <w:rPr>
          <w:sz w:val="28"/>
          <w:szCs w:val="28"/>
        </w:rPr>
        <w:fldChar w:fldCharType="begin"/>
      </w:r>
      <w:r>
        <w:rPr>
          <w:sz w:val="28"/>
          <w:szCs w:val="28"/>
        </w:rPr>
        <w:instrText xml:space="preserve"> PAGEREF _Toc38626395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"_Toc38626396" </w:instrText>
      </w:r>
      <w:r>
        <w:fldChar w:fldCharType="separate"/>
      </w:r>
      <w:r>
        <w:rPr>
          <w:rStyle w:val="25"/>
          <w:sz w:val="28"/>
          <w:szCs w:val="28"/>
        </w:rPr>
        <w:t xml:space="preserve">5.1 </w:t>
      </w:r>
      <w:r>
        <w:rPr>
          <w:rStyle w:val="25"/>
          <w:rFonts w:hint="eastAsia"/>
          <w:sz w:val="28"/>
          <w:szCs w:val="28"/>
        </w:rPr>
        <w:t>公司经济发展大事记</w:t>
      </w:r>
      <w:r>
        <w:rPr>
          <w:sz w:val="28"/>
          <w:szCs w:val="28"/>
        </w:rPr>
        <w:tab/>
      </w:r>
      <w:r>
        <w:rPr>
          <w:sz w:val="28"/>
          <w:szCs w:val="28"/>
        </w:rPr>
        <w:fldChar w:fldCharType="begin"/>
      </w:r>
      <w:r>
        <w:rPr>
          <w:sz w:val="28"/>
          <w:szCs w:val="28"/>
        </w:rPr>
        <w:instrText xml:space="preserve"> PAGEREF _Toc38626396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"_Toc38626397" </w:instrText>
      </w:r>
      <w:r>
        <w:fldChar w:fldCharType="separate"/>
      </w:r>
      <w:r>
        <w:rPr>
          <w:rStyle w:val="25"/>
          <w:sz w:val="28"/>
          <w:szCs w:val="28"/>
        </w:rPr>
        <w:t xml:space="preserve">5.2 </w:t>
      </w:r>
      <w:r>
        <w:rPr>
          <w:rStyle w:val="25"/>
          <w:rFonts w:hint="eastAsia"/>
          <w:sz w:val="28"/>
          <w:szCs w:val="28"/>
        </w:rPr>
        <w:t>主要经济指标</w:t>
      </w:r>
      <w:r>
        <w:rPr>
          <w:sz w:val="28"/>
          <w:szCs w:val="28"/>
        </w:rPr>
        <w:tab/>
      </w:r>
      <w:r>
        <w:rPr>
          <w:sz w:val="28"/>
          <w:szCs w:val="28"/>
        </w:rPr>
        <w:fldChar w:fldCharType="begin"/>
      </w:r>
      <w:r>
        <w:rPr>
          <w:sz w:val="28"/>
          <w:szCs w:val="28"/>
        </w:rPr>
        <w:instrText xml:space="preserve"> PAGEREF _Toc38626397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"_Toc38626398" </w:instrText>
      </w:r>
      <w:r>
        <w:fldChar w:fldCharType="separate"/>
      </w:r>
      <w:r>
        <w:rPr>
          <w:rStyle w:val="25"/>
          <w:sz w:val="28"/>
          <w:szCs w:val="28"/>
        </w:rPr>
        <w:t xml:space="preserve">5.3 </w:t>
      </w:r>
      <w:r>
        <w:rPr>
          <w:rStyle w:val="25"/>
          <w:rFonts w:hint="eastAsia"/>
          <w:sz w:val="28"/>
          <w:szCs w:val="28"/>
        </w:rPr>
        <w:t>风险监管指标</w:t>
      </w:r>
      <w:r>
        <w:rPr>
          <w:sz w:val="28"/>
          <w:szCs w:val="28"/>
        </w:rPr>
        <w:tab/>
      </w:r>
      <w:r>
        <w:rPr>
          <w:sz w:val="28"/>
          <w:szCs w:val="28"/>
        </w:rPr>
        <w:fldChar w:fldCharType="begin"/>
      </w:r>
      <w:r>
        <w:rPr>
          <w:sz w:val="28"/>
          <w:szCs w:val="28"/>
        </w:rPr>
        <w:instrText xml:space="preserve"> PAGEREF _Toc38626398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"_Toc38626399" </w:instrText>
      </w:r>
      <w:r>
        <w:fldChar w:fldCharType="separate"/>
      </w:r>
      <w:r>
        <w:rPr>
          <w:rStyle w:val="25"/>
          <w:sz w:val="28"/>
          <w:szCs w:val="28"/>
        </w:rPr>
        <w:t xml:space="preserve">5.4 </w:t>
      </w:r>
      <w:r>
        <w:rPr>
          <w:rStyle w:val="25"/>
          <w:rFonts w:hint="eastAsia"/>
          <w:sz w:val="28"/>
          <w:szCs w:val="28"/>
        </w:rPr>
        <w:t>对利益相关者的利益分配</w:t>
      </w:r>
      <w:r>
        <w:rPr>
          <w:sz w:val="28"/>
          <w:szCs w:val="28"/>
        </w:rPr>
        <w:tab/>
      </w:r>
      <w:r>
        <w:rPr>
          <w:sz w:val="28"/>
          <w:szCs w:val="28"/>
        </w:rPr>
        <w:fldChar w:fldCharType="begin"/>
      </w:r>
      <w:r>
        <w:rPr>
          <w:sz w:val="28"/>
          <w:szCs w:val="28"/>
        </w:rPr>
        <w:instrText xml:space="preserve"> PAGEREF _Toc38626399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"_Toc38626400" </w:instrText>
      </w:r>
      <w:r>
        <w:fldChar w:fldCharType="separate"/>
      </w:r>
      <w:r>
        <w:rPr>
          <w:rStyle w:val="25"/>
          <w:sz w:val="28"/>
          <w:szCs w:val="28"/>
        </w:rPr>
        <w:t xml:space="preserve">5.5 </w:t>
      </w:r>
      <w:r>
        <w:rPr>
          <w:rStyle w:val="25"/>
          <w:rFonts w:hint="eastAsia"/>
          <w:sz w:val="28"/>
          <w:szCs w:val="28"/>
        </w:rPr>
        <w:t>固定资产投资及评估</w:t>
      </w:r>
      <w:r>
        <w:rPr>
          <w:sz w:val="28"/>
          <w:szCs w:val="28"/>
        </w:rPr>
        <w:tab/>
      </w:r>
      <w:r>
        <w:rPr>
          <w:sz w:val="28"/>
          <w:szCs w:val="28"/>
        </w:rPr>
        <w:fldChar w:fldCharType="begin"/>
      </w:r>
      <w:r>
        <w:rPr>
          <w:sz w:val="28"/>
          <w:szCs w:val="28"/>
        </w:rPr>
        <w:instrText xml:space="preserve"> PAGEREF _Toc38626400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"_Toc38626401" </w:instrText>
      </w:r>
      <w:r>
        <w:fldChar w:fldCharType="separate"/>
      </w:r>
      <w:r>
        <w:rPr>
          <w:rStyle w:val="25"/>
          <w:sz w:val="28"/>
          <w:szCs w:val="28"/>
        </w:rPr>
        <w:t xml:space="preserve">6. </w:t>
      </w:r>
      <w:r>
        <w:rPr>
          <w:rStyle w:val="25"/>
          <w:rFonts w:hint="eastAsia"/>
          <w:sz w:val="28"/>
          <w:szCs w:val="28"/>
        </w:rPr>
        <w:t>社会责任与业绩</w:t>
      </w:r>
      <w:r>
        <w:rPr>
          <w:sz w:val="28"/>
          <w:szCs w:val="28"/>
        </w:rPr>
        <w:tab/>
      </w:r>
      <w:r>
        <w:rPr>
          <w:sz w:val="28"/>
          <w:szCs w:val="28"/>
        </w:rPr>
        <w:fldChar w:fldCharType="begin"/>
      </w:r>
      <w:r>
        <w:rPr>
          <w:sz w:val="28"/>
          <w:szCs w:val="28"/>
        </w:rPr>
        <w:instrText xml:space="preserve"> PAGEREF _Toc38626401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"_Toc38626402" </w:instrText>
      </w:r>
      <w:r>
        <w:fldChar w:fldCharType="separate"/>
      </w:r>
      <w:r>
        <w:rPr>
          <w:rStyle w:val="25"/>
          <w:sz w:val="28"/>
          <w:szCs w:val="28"/>
        </w:rPr>
        <w:t>6.1</w:t>
      </w:r>
      <w:r>
        <w:rPr>
          <w:rStyle w:val="25"/>
          <w:rFonts w:hint="eastAsia"/>
          <w:sz w:val="28"/>
          <w:szCs w:val="28"/>
        </w:rPr>
        <w:t>公司社会责任大事记</w:t>
      </w:r>
      <w:r>
        <w:rPr>
          <w:sz w:val="28"/>
          <w:szCs w:val="28"/>
        </w:rPr>
        <w:tab/>
      </w:r>
      <w:r>
        <w:rPr>
          <w:sz w:val="28"/>
          <w:szCs w:val="28"/>
        </w:rPr>
        <w:fldChar w:fldCharType="begin"/>
      </w:r>
      <w:r>
        <w:rPr>
          <w:sz w:val="28"/>
          <w:szCs w:val="28"/>
        </w:rPr>
        <w:instrText xml:space="preserve"> PAGEREF _Toc38626402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"_Toc38626403" </w:instrText>
      </w:r>
      <w:r>
        <w:fldChar w:fldCharType="separate"/>
      </w:r>
      <w:r>
        <w:rPr>
          <w:rStyle w:val="25"/>
          <w:sz w:val="28"/>
          <w:szCs w:val="28"/>
        </w:rPr>
        <w:t>6.2</w:t>
      </w:r>
      <w:r>
        <w:rPr>
          <w:rStyle w:val="25"/>
          <w:rFonts w:hint="eastAsia"/>
          <w:sz w:val="28"/>
          <w:szCs w:val="28"/>
        </w:rPr>
        <w:t>员工管理与合理的工作</w:t>
      </w:r>
      <w:r>
        <w:rPr>
          <w:sz w:val="28"/>
          <w:szCs w:val="28"/>
        </w:rPr>
        <w:tab/>
      </w:r>
      <w:r>
        <w:rPr>
          <w:sz w:val="28"/>
          <w:szCs w:val="28"/>
        </w:rPr>
        <w:fldChar w:fldCharType="begin"/>
      </w:r>
      <w:r>
        <w:rPr>
          <w:sz w:val="28"/>
          <w:szCs w:val="28"/>
        </w:rPr>
        <w:instrText xml:space="preserve"> PAGEREF _Toc38626403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"_Toc38626404" </w:instrText>
      </w:r>
      <w:r>
        <w:fldChar w:fldCharType="separate"/>
      </w:r>
      <w:r>
        <w:rPr>
          <w:rStyle w:val="25"/>
          <w:sz w:val="28"/>
          <w:szCs w:val="28"/>
        </w:rPr>
        <w:t xml:space="preserve">6.3 </w:t>
      </w:r>
      <w:r>
        <w:rPr>
          <w:rStyle w:val="25"/>
          <w:rFonts w:hint="eastAsia"/>
          <w:sz w:val="28"/>
          <w:szCs w:val="28"/>
        </w:rPr>
        <w:t>员工权利</w:t>
      </w:r>
      <w:r>
        <w:rPr>
          <w:sz w:val="28"/>
          <w:szCs w:val="28"/>
        </w:rPr>
        <w:tab/>
      </w:r>
      <w:r>
        <w:rPr>
          <w:sz w:val="28"/>
          <w:szCs w:val="28"/>
        </w:rPr>
        <w:fldChar w:fldCharType="begin"/>
      </w:r>
      <w:r>
        <w:rPr>
          <w:sz w:val="28"/>
          <w:szCs w:val="28"/>
        </w:rPr>
        <w:instrText xml:space="preserve"> PAGEREF _Toc38626404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"_Toc38626405" </w:instrText>
      </w:r>
      <w:r>
        <w:fldChar w:fldCharType="separate"/>
      </w:r>
      <w:r>
        <w:rPr>
          <w:rStyle w:val="25"/>
          <w:sz w:val="28"/>
          <w:szCs w:val="28"/>
        </w:rPr>
        <w:t xml:space="preserve">6.4 </w:t>
      </w:r>
      <w:r>
        <w:rPr>
          <w:rStyle w:val="25"/>
          <w:rFonts w:hint="eastAsia"/>
          <w:sz w:val="28"/>
          <w:szCs w:val="28"/>
        </w:rPr>
        <w:t>社会影响</w:t>
      </w:r>
      <w:r>
        <w:rPr>
          <w:sz w:val="28"/>
          <w:szCs w:val="28"/>
        </w:rPr>
        <w:tab/>
      </w:r>
      <w:r>
        <w:rPr>
          <w:sz w:val="28"/>
          <w:szCs w:val="28"/>
        </w:rPr>
        <w:fldChar w:fldCharType="begin"/>
      </w:r>
      <w:r>
        <w:rPr>
          <w:sz w:val="28"/>
          <w:szCs w:val="28"/>
        </w:rPr>
        <w:instrText xml:space="preserve"> PAGEREF _Toc38626405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"_Toc38626406" </w:instrText>
      </w:r>
      <w:r>
        <w:fldChar w:fldCharType="separate"/>
      </w:r>
      <w:r>
        <w:rPr>
          <w:rStyle w:val="25"/>
          <w:sz w:val="28"/>
          <w:szCs w:val="28"/>
        </w:rPr>
        <w:t xml:space="preserve">7. </w:t>
      </w:r>
      <w:r>
        <w:rPr>
          <w:rStyle w:val="25"/>
          <w:rFonts w:hint="eastAsia"/>
          <w:sz w:val="28"/>
          <w:szCs w:val="28"/>
        </w:rPr>
        <w:t>环境责任与业绩</w:t>
      </w:r>
      <w:r>
        <w:rPr>
          <w:sz w:val="28"/>
          <w:szCs w:val="28"/>
        </w:rPr>
        <w:tab/>
      </w:r>
      <w:r>
        <w:rPr>
          <w:sz w:val="28"/>
          <w:szCs w:val="28"/>
        </w:rPr>
        <w:fldChar w:fldCharType="begin"/>
      </w:r>
      <w:r>
        <w:rPr>
          <w:sz w:val="28"/>
          <w:szCs w:val="28"/>
        </w:rPr>
        <w:instrText xml:space="preserve"> PAGEREF _Toc38626406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"_Toc38626407" </w:instrText>
      </w:r>
      <w:r>
        <w:fldChar w:fldCharType="separate"/>
      </w:r>
      <w:r>
        <w:rPr>
          <w:rStyle w:val="25"/>
          <w:sz w:val="28"/>
          <w:szCs w:val="28"/>
        </w:rPr>
        <w:t>7.1</w:t>
      </w:r>
      <w:r>
        <w:rPr>
          <w:rStyle w:val="25"/>
          <w:rFonts w:hint="eastAsia"/>
          <w:sz w:val="28"/>
          <w:szCs w:val="28"/>
        </w:rPr>
        <w:t>节能降耗</w:t>
      </w:r>
      <w:r>
        <w:rPr>
          <w:sz w:val="28"/>
          <w:szCs w:val="28"/>
        </w:rPr>
        <w:tab/>
      </w:r>
      <w:r>
        <w:rPr>
          <w:sz w:val="28"/>
          <w:szCs w:val="28"/>
        </w:rPr>
        <w:fldChar w:fldCharType="begin"/>
      </w:r>
      <w:r>
        <w:rPr>
          <w:sz w:val="28"/>
          <w:szCs w:val="28"/>
        </w:rPr>
        <w:instrText xml:space="preserve"> PAGEREF _Toc38626407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"_Toc38626408" </w:instrText>
      </w:r>
      <w:r>
        <w:fldChar w:fldCharType="separate"/>
      </w:r>
      <w:r>
        <w:rPr>
          <w:rStyle w:val="25"/>
          <w:sz w:val="28"/>
          <w:szCs w:val="28"/>
        </w:rPr>
        <w:t>7.2</w:t>
      </w:r>
      <w:r>
        <w:rPr>
          <w:rStyle w:val="25"/>
          <w:rFonts w:hint="eastAsia"/>
          <w:sz w:val="28"/>
          <w:szCs w:val="28"/>
        </w:rPr>
        <w:t>大力倡导“绿色办公”</w:t>
      </w:r>
      <w:r>
        <w:rPr>
          <w:sz w:val="28"/>
          <w:szCs w:val="28"/>
        </w:rPr>
        <w:tab/>
      </w:r>
      <w:r>
        <w:rPr>
          <w:sz w:val="28"/>
          <w:szCs w:val="28"/>
        </w:rPr>
        <w:fldChar w:fldCharType="begin"/>
      </w:r>
      <w:r>
        <w:rPr>
          <w:sz w:val="28"/>
          <w:szCs w:val="28"/>
        </w:rPr>
        <w:instrText xml:space="preserve"> PAGEREF _Toc38626408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1"/>
        </w:rPr>
      </w:pPr>
      <w:r>
        <w:fldChar w:fldCharType="begin"/>
      </w:r>
      <w:r>
        <w:instrText xml:space="preserve"> HYPERLINK \l "_Toc38626409" </w:instrText>
      </w:r>
      <w:r>
        <w:fldChar w:fldCharType="separate"/>
      </w:r>
      <w:r>
        <w:rPr>
          <w:rStyle w:val="25"/>
          <w:sz w:val="28"/>
          <w:szCs w:val="28"/>
        </w:rPr>
        <w:t xml:space="preserve">8. </w:t>
      </w:r>
      <w:r>
        <w:rPr>
          <w:rStyle w:val="25"/>
          <w:rFonts w:hint="eastAsia"/>
          <w:sz w:val="28"/>
          <w:szCs w:val="28"/>
        </w:rPr>
        <w:t>附录</w:t>
      </w:r>
      <w:r>
        <w:rPr>
          <w:sz w:val="28"/>
          <w:szCs w:val="28"/>
        </w:rPr>
        <w:tab/>
      </w:r>
      <w:r>
        <w:rPr>
          <w:sz w:val="28"/>
          <w:szCs w:val="28"/>
        </w:rPr>
        <w:fldChar w:fldCharType="begin"/>
      </w:r>
      <w:r>
        <w:rPr>
          <w:sz w:val="28"/>
          <w:szCs w:val="28"/>
        </w:rPr>
        <w:instrText xml:space="preserve"> PAGEREF _Toc38626409 \h </w:instrText>
      </w:r>
      <w:r>
        <w:rPr>
          <w:sz w:val="28"/>
          <w:szCs w:val="28"/>
        </w:rPr>
        <w:fldChar w:fldCharType="separate"/>
      </w:r>
      <w:r>
        <w:rPr>
          <w:sz w:val="28"/>
          <w:szCs w:val="28"/>
        </w:rPr>
        <w:t>46</w:t>
      </w:r>
      <w:r>
        <w:rPr>
          <w:sz w:val="28"/>
          <w:szCs w:val="28"/>
        </w:rPr>
        <w:fldChar w:fldCharType="end"/>
      </w:r>
      <w:r>
        <w:rPr>
          <w:sz w:val="28"/>
          <w:szCs w:val="28"/>
        </w:rPr>
        <w:fldChar w:fldCharType="end"/>
      </w:r>
    </w:p>
    <w:p>
      <w:pPr>
        <w:spacing w:line="360" w:lineRule="exact"/>
        <w:rPr>
          <w:rFonts w:ascii="宋体" w:hAnsi="宋体"/>
          <w:sz w:val="24"/>
        </w:rPr>
      </w:pPr>
      <w:r>
        <w:rPr>
          <w:rFonts w:ascii="宋体" w:hAnsi="宋体" w:cs="宋体"/>
          <w:sz w:val="28"/>
          <w:szCs w:val="28"/>
        </w:rPr>
        <w:fldChar w:fldCharType="end"/>
      </w:r>
    </w:p>
    <w:p>
      <w:pPr>
        <w:ind w:firstLine="723" w:firstLineChars="200"/>
        <w:rPr>
          <w:rFonts w:ascii="宋体" w:hAnsi="宋体"/>
          <w:b/>
          <w:sz w:val="36"/>
          <w:szCs w:val="36"/>
        </w:rPr>
      </w:pPr>
    </w:p>
    <w:p>
      <w:pPr>
        <w:rPr>
          <w:rFonts w:ascii="宋体" w:hAnsi="宋体"/>
          <w:b/>
          <w:sz w:val="30"/>
          <w:szCs w:val="30"/>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pStyle w:val="19"/>
        <w:spacing w:before="0" w:after="0" w:line="520" w:lineRule="exact"/>
        <w:rPr>
          <w:rFonts w:hint="eastAsia"/>
        </w:rPr>
      </w:pPr>
      <w:bookmarkStart w:id="0" w:name="_Toc38626378"/>
      <w:r>
        <w:rPr>
          <w:rFonts w:hint="eastAsia"/>
        </w:rPr>
        <w:t>1. 本报告编写说明</w:t>
      </w:r>
      <w:bookmarkEnd w:id="0"/>
    </w:p>
    <w:p>
      <w:pPr>
        <w:spacing w:line="520" w:lineRule="exact"/>
        <w:ind w:firstLine="560" w:firstLineChars="200"/>
        <w:rPr>
          <w:rFonts w:hint="eastAsia" w:ascii="宋体" w:hAnsi="宋体"/>
          <w:sz w:val="28"/>
          <w:szCs w:val="28"/>
        </w:rPr>
      </w:pPr>
      <w:r>
        <w:rPr>
          <w:rFonts w:hint="eastAsia" w:ascii="宋体" w:hAnsi="宋体"/>
          <w:sz w:val="28"/>
          <w:szCs w:val="28"/>
        </w:rPr>
        <w:t>本报告介绍了20</w:t>
      </w:r>
      <w:r>
        <w:rPr>
          <w:rFonts w:hint="eastAsia" w:ascii="宋体" w:hAnsi="宋体"/>
          <w:sz w:val="28"/>
          <w:szCs w:val="28"/>
          <w:lang w:val="en-US" w:eastAsia="zh-CN"/>
        </w:rPr>
        <w:t>20</w:t>
      </w:r>
      <w:r>
        <w:rPr>
          <w:rFonts w:hint="eastAsia" w:ascii="宋体" w:hAnsi="宋体"/>
          <w:sz w:val="28"/>
          <w:szCs w:val="28"/>
        </w:rPr>
        <w:t>年度新湖期货有限公司积极承担经济、社会和环境责任方面的活动及表现。时间范围为20</w:t>
      </w:r>
      <w:r>
        <w:rPr>
          <w:rFonts w:hint="eastAsia" w:ascii="宋体" w:hAnsi="宋体"/>
          <w:sz w:val="28"/>
          <w:szCs w:val="28"/>
          <w:lang w:val="en-US" w:eastAsia="zh-CN"/>
        </w:rPr>
        <w:t>20</w:t>
      </w:r>
      <w:r>
        <w:rPr>
          <w:rFonts w:hint="eastAsia" w:ascii="宋体" w:hAnsi="宋体"/>
          <w:sz w:val="28"/>
          <w:szCs w:val="28"/>
        </w:rPr>
        <w:t>年1月1日至20</w:t>
      </w:r>
      <w:r>
        <w:rPr>
          <w:rFonts w:hint="eastAsia" w:ascii="宋体" w:hAnsi="宋体"/>
          <w:sz w:val="28"/>
          <w:szCs w:val="28"/>
          <w:lang w:val="en-US" w:eastAsia="zh-CN"/>
        </w:rPr>
        <w:t>20</w:t>
      </w:r>
      <w:r>
        <w:rPr>
          <w:rFonts w:hint="eastAsia" w:ascii="宋体" w:hAnsi="宋体"/>
          <w:sz w:val="28"/>
          <w:szCs w:val="28"/>
        </w:rPr>
        <w:t>年12月31日。</w:t>
      </w:r>
    </w:p>
    <w:p>
      <w:pPr>
        <w:spacing w:line="520" w:lineRule="exact"/>
        <w:ind w:firstLine="560" w:firstLineChars="200"/>
        <w:rPr>
          <w:rFonts w:hint="eastAsia" w:ascii="宋体" w:hAnsi="宋体"/>
          <w:sz w:val="28"/>
          <w:szCs w:val="28"/>
        </w:rPr>
      </w:pPr>
      <w:r>
        <w:rPr>
          <w:rFonts w:hint="eastAsia" w:ascii="宋体" w:hAnsi="宋体"/>
          <w:sz w:val="28"/>
          <w:szCs w:val="28"/>
        </w:rPr>
        <w:t>本报告依据《上海期货公司社会责任报告编制框架指引》以及《上海期货公司社会责任工作指引》文件编制。</w:t>
      </w:r>
    </w:p>
    <w:p>
      <w:pPr>
        <w:spacing w:line="520" w:lineRule="exact"/>
        <w:ind w:firstLine="560" w:firstLineChars="200"/>
        <w:rPr>
          <w:rFonts w:hint="eastAsia" w:ascii="宋体" w:hAnsi="宋体"/>
          <w:sz w:val="28"/>
          <w:szCs w:val="28"/>
        </w:rPr>
      </w:pPr>
      <w:r>
        <w:rPr>
          <w:rFonts w:hint="eastAsia" w:ascii="宋体" w:hAnsi="宋体"/>
          <w:sz w:val="28"/>
          <w:szCs w:val="28"/>
        </w:rPr>
        <w:t>如无特别说明，本报告资料和数据均来源于公司内部统计，如与公司年度报告、财务报告有出入，以公司年度报告和财务报告为准。</w:t>
      </w:r>
    </w:p>
    <w:p>
      <w:pPr>
        <w:spacing w:line="520" w:lineRule="exact"/>
        <w:ind w:firstLine="560" w:firstLineChars="200"/>
        <w:rPr>
          <w:rFonts w:hint="eastAsia" w:ascii="宋体" w:hAnsi="宋体"/>
          <w:sz w:val="28"/>
          <w:szCs w:val="28"/>
        </w:rPr>
      </w:pPr>
      <w:r>
        <w:rPr>
          <w:rFonts w:hint="eastAsia" w:ascii="宋体" w:hAnsi="宋体"/>
          <w:sz w:val="28"/>
          <w:szCs w:val="28"/>
        </w:rPr>
        <w:t>本公司董事会及全体董事保证本报告内容不存在任何虚假记载、误导性陈述或重大遗漏，保证所有数据的真实性、准确性和完整性。</w:t>
      </w:r>
    </w:p>
    <w:p>
      <w:pPr>
        <w:pStyle w:val="19"/>
        <w:rPr>
          <w:rFonts w:hint="eastAsia" w:ascii="宋体" w:hAnsi="宋体"/>
          <w:sz w:val="28"/>
          <w:szCs w:val="28"/>
        </w:rPr>
      </w:pPr>
      <w:bookmarkStart w:id="1" w:name="_Toc38626379"/>
      <w:r>
        <w:rPr>
          <w:rFonts w:hint="eastAsia"/>
        </w:rPr>
        <w:t>2. 公司愿景与社会责任定位</w:t>
      </w:r>
      <w:bookmarkEnd w:id="1"/>
    </w:p>
    <w:p>
      <w:pPr>
        <w:pStyle w:val="19"/>
        <w:spacing w:before="0" w:after="0" w:line="520" w:lineRule="exact"/>
        <w:rPr>
          <w:rFonts w:hint="eastAsia"/>
        </w:rPr>
      </w:pPr>
      <w:bookmarkStart w:id="2" w:name="_Toc38626380"/>
      <w:r>
        <w:rPr>
          <w:rFonts w:hint="eastAsia"/>
        </w:rPr>
        <w:t>2.1 公司愿景和发展战略</w:t>
      </w:r>
      <w:bookmarkEnd w:id="2"/>
    </w:p>
    <w:p>
      <w:pPr>
        <w:spacing w:line="520" w:lineRule="exact"/>
        <w:rPr>
          <w:rFonts w:hint="eastAsia" w:ascii="宋体" w:hAnsi="宋体"/>
          <w:sz w:val="30"/>
          <w:szCs w:val="30"/>
        </w:rPr>
      </w:pPr>
      <w:r>
        <w:rPr>
          <w:rFonts w:hint="eastAsia" w:ascii="宋体" w:hAnsi="宋体"/>
          <w:sz w:val="30"/>
          <w:szCs w:val="30"/>
        </w:rPr>
        <w:t>2.1.1公司愿景</w:t>
      </w:r>
    </w:p>
    <w:p>
      <w:pPr>
        <w:spacing w:line="520" w:lineRule="exact"/>
        <w:ind w:firstLine="601"/>
        <w:rPr>
          <w:rFonts w:hint="eastAsia" w:ascii="宋体" w:hAnsi="宋体"/>
          <w:sz w:val="28"/>
          <w:szCs w:val="28"/>
        </w:rPr>
      </w:pPr>
      <w:r>
        <w:rPr>
          <w:rFonts w:hint="eastAsia" w:ascii="宋体" w:hAnsi="宋体"/>
          <w:sz w:val="28"/>
          <w:szCs w:val="28"/>
        </w:rPr>
        <w:t>公司致力于持续为客户和社会提供高价值服务，塑造领先的用工环境</w:t>
      </w:r>
      <w:r>
        <w:rPr>
          <w:rFonts w:hint="eastAsia" w:ascii="宋体" w:hAnsi="宋体"/>
          <w:sz w:val="28"/>
          <w:szCs w:val="28"/>
          <w:lang w:eastAsia="zh-CN"/>
        </w:rPr>
        <w:t>，</w:t>
      </w:r>
      <w:r>
        <w:rPr>
          <w:rFonts w:hint="eastAsia" w:ascii="宋体" w:hAnsi="宋体"/>
          <w:sz w:val="28"/>
          <w:szCs w:val="28"/>
          <w:lang w:val="en-US" w:eastAsia="zh-CN"/>
        </w:rPr>
        <w:t>履行企业应承担期货行业改革发展使命，</w:t>
      </w:r>
      <w:r>
        <w:rPr>
          <w:rFonts w:hint="eastAsia" w:ascii="宋体" w:hAnsi="宋体"/>
          <w:sz w:val="28"/>
          <w:szCs w:val="28"/>
        </w:rPr>
        <w:t>缔造世界一流</w:t>
      </w:r>
      <w:r>
        <w:rPr>
          <w:rFonts w:hint="eastAsia" w:ascii="宋体" w:hAnsi="宋体"/>
          <w:sz w:val="28"/>
          <w:szCs w:val="28"/>
          <w:lang w:val="en-US" w:eastAsia="zh-CN"/>
        </w:rPr>
        <w:t>专业驱动型</w:t>
      </w:r>
      <w:r>
        <w:rPr>
          <w:rFonts w:hint="eastAsia" w:ascii="宋体" w:hAnsi="宋体"/>
          <w:sz w:val="28"/>
          <w:szCs w:val="28"/>
        </w:rPr>
        <w:t>综合衍生品金融服务企业。</w:t>
      </w:r>
    </w:p>
    <w:p>
      <w:pPr>
        <w:spacing w:line="520" w:lineRule="exact"/>
        <w:rPr>
          <w:rFonts w:hint="eastAsia" w:ascii="宋体" w:hAnsi="宋体"/>
          <w:sz w:val="30"/>
          <w:szCs w:val="30"/>
        </w:rPr>
      </w:pPr>
      <w:r>
        <w:rPr>
          <w:rFonts w:hint="eastAsia" w:ascii="宋体" w:hAnsi="宋体"/>
          <w:sz w:val="30"/>
          <w:szCs w:val="30"/>
        </w:rPr>
        <w:t>2.1.2公司发展战略</w:t>
      </w:r>
    </w:p>
    <w:p>
      <w:pPr>
        <w:spacing w:line="520" w:lineRule="exact"/>
        <w:ind w:firstLine="601"/>
        <w:rPr>
          <w:rFonts w:hint="eastAsia" w:ascii="宋体" w:hAnsi="宋体"/>
          <w:sz w:val="28"/>
          <w:szCs w:val="28"/>
        </w:rPr>
      </w:pPr>
      <w:r>
        <w:rPr>
          <w:rFonts w:hint="eastAsia" w:ascii="宋体" w:hAnsi="宋体"/>
          <w:sz w:val="28"/>
          <w:szCs w:val="28"/>
        </w:rPr>
        <w:t>公司中长期发展战略：坚持走产业化、专业化和产品化服务之路，秉承“财富共享才最有价值”的核心理念，突破传统思维方式，强化创新服务意识，着力打造以管理客户资产规模为基础，产业服务和产品运营为核心，风险管理和财富管理为方向，线下与线上业务结合为手段，先进的IT技术为支持，总部业务条线与分支机构专业部门为支点，合规管理为文化的</w:t>
      </w:r>
      <w:r>
        <w:rPr>
          <w:rFonts w:hint="eastAsia" w:ascii="宋体" w:hAnsi="宋体"/>
          <w:sz w:val="28"/>
          <w:szCs w:val="28"/>
          <w:lang w:val="en-US" w:eastAsia="zh-CN"/>
        </w:rPr>
        <w:t>专业驱动型</w:t>
      </w:r>
      <w:r>
        <w:rPr>
          <w:rFonts w:hint="eastAsia" w:ascii="宋体" w:hAnsi="宋体"/>
          <w:sz w:val="28"/>
          <w:szCs w:val="28"/>
        </w:rPr>
        <w:t>综合性衍生品金融服务平台。</w:t>
      </w:r>
    </w:p>
    <w:p>
      <w:pPr>
        <w:spacing w:line="520" w:lineRule="exact"/>
        <w:ind w:firstLine="601"/>
        <w:rPr>
          <w:rFonts w:hint="eastAsia" w:ascii="宋体" w:hAnsi="宋体" w:eastAsia="宋体"/>
          <w:sz w:val="28"/>
          <w:szCs w:val="28"/>
          <w:lang w:val="en-US" w:eastAsia="zh-CN"/>
        </w:rPr>
      </w:pPr>
      <w:r>
        <w:rPr>
          <w:rFonts w:hint="eastAsia" w:ascii="宋体" w:hAnsi="宋体"/>
          <w:sz w:val="28"/>
          <w:szCs w:val="28"/>
        </w:rPr>
        <w:t>公司短期发展战略：面对期货市场新形势，公司2018年初提出了“经纪业务+”模式理念，并在2019年进一步深化为“1+6”增值业务转型发展战略，随后推出了“五线四板块”</w:t>
      </w:r>
      <w:r>
        <w:rPr>
          <w:rFonts w:hint="eastAsia" w:ascii="宋体" w:hAnsi="宋体"/>
          <w:sz w:val="28"/>
          <w:szCs w:val="28"/>
          <w:lang w:val="en-US" w:eastAsia="zh-CN"/>
        </w:rPr>
        <w:t>投研发展模式。2020年新湖期货提出“一切为了提升客户的盈利能力，一切为了优秀员工的持续成长”发展理念，着力推动以研究所为核心，有色贵金属、黑色、能化、农产品四大品种事业总部为抓手的投研核心能力建设，</w:t>
      </w:r>
      <w:r>
        <w:rPr>
          <w:rFonts w:hint="eastAsia" w:ascii="宋体" w:hAnsi="宋体"/>
          <w:sz w:val="28"/>
          <w:szCs w:val="28"/>
        </w:rPr>
        <w:t>挖掘期货业务</w:t>
      </w:r>
      <w:r>
        <w:rPr>
          <w:rFonts w:hint="eastAsia" w:ascii="宋体" w:hAnsi="宋体"/>
          <w:sz w:val="28"/>
          <w:szCs w:val="28"/>
          <w:lang w:val="en-US" w:eastAsia="zh-CN"/>
        </w:rPr>
        <w:t>模式</w:t>
      </w:r>
      <w:r>
        <w:rPr>
          <w:rFonts w:hint="eastAsia" w:ascii="宋体" w:hAnsi="宋体"/>
          <w:sz w:val="28"/>
          <w:szCs w:val="28"/>
        </w:rPr>
        <w:t>潜力，</w:t>
      </w:r>
      <w:r>
        <w:rPr>
          <w:rFonts w:hint="eastAsia" w:ascii="宋体" w:hAnsi="宋体"/>
          <w:sz w:val="28"/>
          <w:szCs w:val="28"/>
          <w:lang w:val="en-US" w:eastAsia="zh-CN"/>
        </w:rPr>
        <w:t>全力提升公司对实体经济客户、机构投资者、国际投资者和自然人投资者的服务能力，力争实现投资者收益广泛提升，帮助公司人才队伍迅速发展。</w:t>
      </w:r>
    </w:p>
    <w:p>
      <w:pPr>
        <w:pStyle w:val="2"/>
        <w:spacing w:before="0" w:after="0" w:line="520" w:lineRule="exact"/>
        <w:rPr>
          <w:rFonts w:hint="eastAsia"/>
        </w:rPr>
      </w:pPr>
      <w:bookmarkStart w:id="3" w:name="_Toc38626381"/>
      <w:r>
        <w:rPr>
          <w:rFonts w:hint="eastAsia"/>
        </w:rPr>
        <w:t>2.2 公司使命和价值观陈述</w:t>
      </w:r>
      <w:bookmarkEnd w:id="3"/>
    </w:p>
    <w:p>
      <w:pPr>
        <w:spacing w:line="520" w:lineRule="exact"/>
        <w:rPr>
          <w:rFonts w:hint="eastAsia" w:ascii="宋体" w:hAnsi="宋体"/>
          <w:sz w:val="30"/>
          <w:szCs w:val="30"/>
        </w:rPr>
      </w:pPr>
      <w:r>
        <w:rPr>
          <w:rFonts w:hint="eastAsia" w:ascii="宋体" w:hAnsi="宋体"/>
          <w:sz w:val="30"/>
          <w:szCs w:val="30"/>
        </w:rPr>
        <w:t>2.2.1公司使命</w:t>
      </w:r>
    </w:p>
    <w:p>
      <w:pPr>
        <w:spacing w:line="520" w:lineRule="exact"/>
        <w:ind w:firstLine="601"/>
        <w:rPr>
          <w:rFonts w:hint="eastAsia" w:ascii="宋体" w:hAnsi="宋体"/>
          <w:sz w:val="28"/>
          <w:szCs w:val="28"/>
          <w:lang w:val="en-US"/>
        </w:rPr>
      </w:pPr>
      <w:r>
        <w:rPr>
          <w:rFonts w:hint="eastAsia" w:ascii="宋体" w:hAnsi="宋体"/>
          <w:sz w:val="28"/>
          <w:szCs w:val="28"/>
          <w:lang w:val="en-US" w:eastAsia="zh-CN"/>
        </w:rPr>
        <w:t>公司坚持</w:t>
      </w:r>
      <w:r>
        <w:rPr>
          <w:rFonts w:hint="eastAsia" w:ascii="宋体" w:hAnsi="宋体"/>
          <w:sz w:val="28"/>
          <w:szCs w:val="28"/>
        </w:rPr>
        <w:t>“党建引领、合规先行、管理规范，以服务实体、服务三农、服务脱贫为创新驱动”</w:t>
      </w:r>
      <w:r>
        <w:rPr>
          <w:rFonts w:hint="eastAsia" w:ascii="宋体" w:hAnsi="宋体"/>
          <w:sz w:val="28"/>
          <w:szCs w:val="28"/>
          <w:lang w:val="en-US" w:eastAsia="zh-CN"/>
        </w:rPr>
        <w:t>的企业使命理念，坚持社会主义企业责任担当，为中国价格影响力提升而不懈努力奋斗。</w:t>
      </w:r>
    </w:p>
    <w:p>
      <w:pPr>
        <w:spacing w:line="520" w:lineRule="exact"/>
        <w:ind w:firstLine="601"/>
        <w:rPr>
          <w:rFonts w:hint="eastAsia" w:ascii="宋体" w:hAnsi="宋体"/>
          <w:sz w:val="28"/>
          <w:szCs w:val="28"/>
        </w:rPr>
      </w:pPr>
      <w:r>
        <w:rPr>
          <w:rFonts w:hint="eastAsia" w:ascii="宋体" w:hAnsi="宋体"/>
          <w:sz w:val="28"/>
          <w:szCs w:val="28"/>
          <w:lang w:val="en-US" w:eastAsia="zh-CN"/>
        </w:rPr>
        <w:t>争</w:t>
      </w:r>
      <w:r>
        <w:rPr>
          <w:rFonts w:hint="eastAsia" w:ascii="宋体" w:hAnsi="宋体"/>
          <w:sz w:val="28"/>
          <w:szCs w:val="28"/>
        </w:rPr>
        <w:t>做企业的风险管理专家，</w:t>
      </w:r>
      <w:r>
        <w:rPr>
          <w:rFonts w:hint="eastAsia" w:ascii="宋体" w:hAnsi="宋体"/>
          <w:sz w:val="28"/>
          <w:szCs w:val="28"/>
          <w:lang w:val="en-US" w:eastAsia="zh-CN"/>
        </w:rPr>
        <w:t>公司争</w:t>
      </w:r>
      <w:r>
        <w:rPr>
          <w:rFonts w:hint="eastAsia" w:ascii="宋体" w:hAnsi="宋体"/>
          <w:sz w:val="28"/>
          <w:szCs w:val="28"/>
        </w:rPr>
        <w:t>做投资者的衍生品财富管理专家，致力于成为中国资本市场、期货市场的领导者；服务国民经济、服务实体经济和机构投资者，打造具有强大影响力的金融机构；强化合规经营，守住风险底线，为投资者提供个性化服务，为股东实现最佳回报；关注员工发展，保持员工利益与企业利益的高度一致，不断为员工创造更大的发展空间；积极回馈社会，服务“三农”、服务“脱贫”，持续投入社会公益事业，践行企业社会责任。</w:t>
      </w:r>
    </w:p>
    <w:p>
      <w:pPr>
        <w:spacing w:line="520" w:lineRule="exact"/>
        <w:rPr>
          <w:rFonts w:hint="eastAsia" w:ascii="宋体" w:hAnsi="宋体"/>
          <w:sz w:val="30"/>
          <w:szCs w:val="30"/>
        </w:rPr>
      </w:pPr>
      <w:r>
        <w:rPr>
          <w:rFonts w:hint="eastAsia" w:ascii="宋体" w:hAnsi="宋体"/>
          <w:sz w:val="30"/>
          <w:szCs w:val="30"/>
        </w:rPr>
        <w:t>2.2.2公司价值观</w:t>
      </w:r>
    </w:p>
    <w:p>
      <w:pPr>
        <w:spacing w:line="520" w:lineRule="exact"/>
        <w:ind w:firstLine="601"/>
        <w:rPr>
          <w:rFonts w:hint="eastAsia"/>
        </w:rPr>
      </w:pPr>
      <w:r>
        <w:rPr>
          <w:rFonts w:hint="eastAsia" w:ascii="宋体" w:hAnsi="宋体"/>
          <w:sz w:val="30"/>
          <w:szCs w:val="30"/>
        </w:rPr>
        <w:t>公司秉持“财富共享才最有价值”的核心理念，即在创造经济效益的同时，讲求社会效益</w:t>
      </w:r>
      <w:r>
        <w:rPr>
          <w:rFonts w:hint="eastAsia" w:ascii="宋体" w:hAnsi="宋体"/>
          <w:sz w:val="30"/>
          <w:szCs w:val="30"/>
          <w:lang w:eastAsia="zh-CN"/>
        </w:rPr>
        <w:t>，</w:t>
      </w:r>
      <w:r>
        <w:rPr>
          <w:rFonts w:hint="eastAsia" w:ascii="宋体" w:hAnsi="宋体"/>
          <w:sz w:val="30"/>
          <w:szCs w:val="30"/>
          <w:lang w:val="en-US" w:eastAsia="zh-CN"/>
        </w:rPr>
        <w:t>反哺实体工农业</w:t>
      </w:r>
      <w:r>
        <w:rPr>
          <w:rFonts w:hint="eastAsia" w:ascii="宋体" w:hAnsi="宋体"/>
          <w:sz w:val="30"/>
          <w:szCs w:val="30"/>
        </w:rPr>
        <w:t>；在遵循市场竞争的同时，讲求双赢、多赢；在企业不断取得成功的同时，讲求回报社会</w:t>
      </w:r>
      <w:r>
        <w:rPr>
          <w:rFonts w:hint="eastAsia" w:ascii="宋体" w:hAnsi="宋体"/>
          <w:sz w:val="30"/>
          <w:szCs w:val="30"/>
          <w:lang w:eastAsia="zh-CN"/>
        </w:rPr>
        <w:t>，</w:t>
      </w:r>
      <w:r>
        <w:rPr>
          <w:rFonts w:hint="eastAsia" w:ascii="宋体" w:hAnsi="宋体"/>
          <w:sz w:val="30"/>
          <w:szCs w:val="30"/>
          <w:lang w:val="en-US" w:eastAsia="zh-CN"/>
        </w:rPr>
        <w:t>履行企业慈善义务</w:t>
      </w:r>
      <w:r>
        <w:rPr>
          <w:rFonts w:hint="eastAsia" w:ascii="宋体" w:hAnsi="宋体"/>
          <w:sz w:val="30"/>
          <w:szCs w:val="30"/>
        </w:rPr>
        <w:t>；在实现企业价值的同时，讲求员工自身价值实现</w:t>
      </w:r>
      <w:r>
        <w:rPr>
          <w:rFonts w:hint="eastAsia" w:ascii="宋体" w:hAnsi="宋体"/>
          <w:sz w:val="30"/>
          <w:szCs w:val="30"/>
          <w:lang w:eastAsia="zh-CN"/>
        </w:rPr>
        <w:t>，</w:t>
      </w:r>
      <w:r>
        <w:rPr>
          <w:rFonts w:hint="eastAsia" w:ascii="宋体" w:hAnsi="宋体"/>
          <w:sz w:val="30"/>
          <w:szCs w:val="30"/>
          <w:lang w:val="en-US" w:eastAsia="zh-CN"/>
        </w:rPr>
        <w:t>为员工搭建干事创业的舞台</w:t>
      </w:r>
      <w:r>
        <w:rPr>
          <w:rFonts w:hint="eastAsia" w:ascii="宋体" w:hAnsi="宋体"/>
          <w:sz w:val="30"/>
          <w:szCs w:val="30"/>
        </w:rPr>
        <w:t>。</w:t>
      </w:r>
      <w:bookmarkStart w:id="4" w:name="_Toc38626382"/>
    </w:p>
    <w:p>
      <w:pPr>
        <w:pStyle w:val="2"/>
        <w:spacing w:before="0" w:after="0" w:line="520" w:lineRule="exact"/>
        <w:rPr>
          <w:rFonts w:hint="eastAsia"/>
        </w:rPr>
      </w:pPr>
      <w:r>
        <w:rPr>
          <w:rFonts w:hint="eastAsia"/>
        </w:rPr>
        <w:t>2.3 公司对社会责任的认识与定位</w:t>
      </w:r>
      <w:bookmarkEnd w:id="4"/>
    </w:p>
    <w:p>
      <w:pPr>
        <w:spacing w:line="520" w:lineRule="exact"/>
        <w:ind w:firstLine="601"/>
        <w:rPr>
          <w:rFonts w:hint="eastAsia" w:ascii="宋体" w:hAnsi="宋体"/>
          <w:sz w:val="28"/>
          <w:szCs w:val="28"/>
        </w:rPr>
      </w:pPr>
      <w:r>
        <w:rPr>
          <w:rFonts w:hint="eastAsia" w:ascii="宋体" w:hAnsi="宋体"/>
          <w:sz w:val="28"/>
          <w:szCs w:val="28"/>
        </w:rPr>
        <w:t>公司认为，企业在创造经济利益、对股东承担责任的同时，应积极承担起对员工、客户、社会和环境的责任。公司相信，企业积极履行社会责任，可以进一步提高企业声誉，赢得公众信心，创造良好的企业外部环境，进而帮助企业实现更快速的发展。</w:t>
      </w:r>
    </w:p>
    <w:p>
      <w:pPr>
        <w:spacing w:line="520" w:lineRule="exact"/>
        <w:ind w:firstLine="601"/>
        <w:rPr>
          <w:rFonts w:hint="eastAsia" w:ascii="宋体" w:hAnsi="宋体"/>
          <w:sz w:val="28"/>
          <w:szCs w:val="28"/>
        </w:rPr>
      </w:pPr>
      <w:r>
        <w:rPr>
          <w:rFonts w:hint="eastAsia" w:ascii="宋体" w:hAnsi="宋体"/>
          <w:sz w:val="28"/>
          <w:szCs w:val="28"/>
        </w:rPr>
        <w:t>公司对社会责任的定位表现在四个方面：第一，公司作为金融机构，承担着社会经济发展的责任，为客户提供专业服务，对相关利益者权益高度负责；第二，公司作为期货经营机构，坚持合规经营，维护期货行业诚信形象；第三，公司作为社会组织，在为股东创造价值的同时，要促进员工与企业共同发展，努力服务实体经济、服务“三农”，实现企业的社会价值</w:t>
      </w:r>
      <w:r>
        <w:rPr>
          <w:rFonts w:hint="eastAsia" w:ascii="宋体" w:hAnsi="宋体"/>
          <w:sz w:val="28"/>
          <w:szCs w:val="28"/>
          <w:lang w:eastAsia="zh-CN"/>
        </w:rPr>
        <w:t>，</w:t>
      </w:r>
      <w:r>
        <w:rPr>
          <w:rFonts w:hint="eastAsia" w:ascii="宋体" w:hAnsi="宋体"/>
          <w:sz w:val="28"/>
          <w:szCs w:val="28"/>
          <w:lang w:val="en-US" w:eastAsia="zh-CN"/>
        </w:rPr>
        <w:t>为期货行业争光彩、竖名片</w:t>
      </w:r>
      <w:r>
        <w:rPr>
          <w:rFonts w:hint="eastAsia" w:ascii="宋体" w:hAnsi="宋体"/>
          <w:sz w:val="28"/>
          <w:szCs w:val="28"/>
        </w:rPr>
        <w:t>；第四，公司作为社会公民，应积极承担社会慈善责任，为构建和谐社会发挥应有的作用</w:t>
      </w:r>
      <w:r>
        <w:rPr>
          <w:rFonts w:hint="eastAsia" w:ascii="宋体" w:hAnsi="宋体"/>
          <w:sz w:val="30"/>
          <w:szCs w:val="30"/>
        </w:rPr>
        <w:t>。</w:t>
      </w:r>
    </w:p>
    <w:p>
      <w:pPr>
        <w:pStyle w:val="2"/>
        <w:spacing w:before="0" w:after="0" w:line="520" w:lineRule="exact"/>
        <w:rPr>
          <w:rFonts w:hint="eastAsia"/>
        </w:rPr>
      </w:pPr>
      <w:bookmarkStart w:id="5" w:name="_Toc38626383"/>
      <w:r>
        <w:rPr>
          <w:rFonts w:hint="eastAsia"/>
        </w:rPr>
        <w:t>2.4 公司董事长致辞</w:t>
      </w:r>
      <w:bookmarkEnd w:id="5"/>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2020年是不平凡的一年，全球经历了百年一遇的新冠疫情，避险需求爆发式增长，中国期货市场迎来了快速发展，客户权益规模从年初的4000亿人民币增长至年底的近万亿规模。中国期货市场经过多年持续业务创新，行业已经进入多品种、多工具和多业务时代，行业服务客户的业务模式与服务实体经济的能力大幅提升，行业高质量发展格局正在形成。以合规为基础的机构监管，以公平透明为基础的交易行为监管，以服务实体经济为基础的交易所品种、工具和体系的建设，以发挥期货经营机构服务能力为基础的行业自律体系的建设，多层次的监管自律发展体系构建了期货市场高质量发展的行业基础。中国期货市场已经上市的期货期权品种超过90个，年贸易量超过14万亿人民币，涉及上下游超过60个产业链，其中60%的产业链已经是中国基本面主导全球现货和期货的定价权。</w:t>
      </w:r>
    </w:p>
    <w:p>
      <w:pPr>
        <w:spacing w:line="5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回顾2020年的新湖期货，公司积极深化“1+6”创新增值业务服务模式，充分发挥“五线四板块”专业投研服务体系，显著提高管理要求，实现了年度经营利润的快速增长，稳步推进了公司IPO的进程，明显提升了公司在行业内的竞争力。“1+6”战略的有效实施，促使公司跨部门业务协作越来越普遍，创新业务收入占比显著提升。“五线四板块”投研体系对公司经纪业务和资产管理业务的发展产生了深远的积极影响，已经成为了公司业务拓展最有力的抓手。</w:t>
      </w:r>
      <w:r>
        <w:rPr>
          <w:rFonts w:hint="eastAsia" w:ascii="宋体" w:hAnsi="宋体" w:cs="宋体"/>
          <w:sz w:val="28"/>
          <w:szCs w:val="28"/>
          <w:lang w:val="en-US" w:eastAsia="zh-CN"/>
        </w:rPr>
        <w:t>在公司首倡的“保险+期货”模式上，</w:t>
      </w:r>
      <w:r>
        <w:rPr>
          <w:rFonts w:hint="eastAsia" w:ascii="宋体" w:hAnsi="宋体" w:cs="宋体"/>
          <w:sz w:val="28"/>
          <w:szCs w:val="28"/>
        </w:rPr>
        <w:t>2020年新湖期货在全国范围内新开展项目22个，</w:t>
      </w:r>
      <w:r>
        <w:rPr>
          <w:rFonts w:hint="eastAsia" w:ascii="宋体" w:hAnsi="宋体" w:cs="宋体"/>
          <w:sz w:val="28"/>
          <w:szCs w:val="28"/>
          <w:lang w:val="en-US" w:eastAsia="zh-CN"/>
        </w:rPr>
        <w:t>覆盖2个国家级贫困县（</w:t>
      </w:r>
      <w:r>
        <w:rPr>
          <w:rFonts w:hint="eastAsia" w:ascii="宋体" w:hAnsi="宋体" w:cs="宋体"/>
          <w:sz w:val="28"/>
          <w:szCs w:val="28"/>
        </w:rPr>
        <w:t>云南会泽县和广西罗城仫佬族自治县</w:t>
      </w:r>
      <w:r>
        <w:rPr>
          <w:rFonts w:hint="eastAsia" w:ascii="宋体" w:hAnsi="宋体" w:cs="宋体"/>
          <w:sz w:val="28"/>
          <w:szCs w:val="28"/>
          <w:lang w:val="en-US" w:eastAsia="zh-CN"/>
        </w:rPr>
        <w:t>），</w:t>
      </w:r>
      <w:r>
        <w:rPr>
          <w:rFonts w:hint="eastAsia" w:ascii="宋体" w:hAnsi="宋体" w:cs="宋体"/>
          <w:sz w:val="28"/>
          <w:szCs w:val="28"/>
        </w:rPr>
        <w:t>累计惠及农户约8万户</w:t>
      </w:r>
      <w:r>
        <w:rPr>
          <w:rFonts w:hint="eastAsia" w:ascii="宋体" w:hAnsi="宋体" w:cs="宋体"/>
          <w:sz w:val="28"/>
          <w:szCs w:val="28"/>
          <w:lang w:eastAsia="zh-CN"/>
        </w:rPr>
        <w:t>，</w:t>
      </w:r>
      <w:r>
        <w:rPr>
          <w:rFonts w:hint="eastAsia" w:ascii="宋体" w:hAnsi="宋体" w:cs="宋体"/>
          <w:sz w:val="28"/>
          <w:szCs w:val="28"/>
        </w:rPr>
        <w:t>其中建档立卡贫困户约1.5万户，对应场外期权名义本金约13亿，对农户实现赔付约4000万元</w:t>
      </w:r>
      <w:r>
        <w:rPr>
          <w:rFonts w:hint="eastAsia" w:ascii="宋体" w:hAnsi="宋体" w:cs="宋体"/>
          <w:sz w:val="28"/>
          <w:szCs w:val="28"/>
          <w:lang w:val="en-US" w:eastAsia="zh-CN"/>
        </w:rPr>
        <w:t>,为国家打赢脱贫攻坚决胜之战作出了应有的贡献。</w:t>
      </w:r>
    </w:p>
    <w:p>
      <w:pPr>
        <w:spacing w:line="520" w:lineRule="exact"/>
        <w:ind w:firstLine="560" w:firstLineChars="200"/>
        <w:rPr>
          <w:rFonts w:hint="eastAsia" w:ascii="宋体" w:hAnsi="宋体"/>
          <w:sz w:val="28"/>
          <w:szCs w:val="28"/>
        </w:rPr>
      </w:pPr>
      <w:r>
        <w:rPr>
          <w:rFonts w:hint="eastAsia" w:ascii="宋体" w:hAnsi="宋体" w:eastAsia="宋体" w:cs="宋体"/>
          <w:sz w:val="28"/>
          <w:szCs w:val="28"/>
        </w:rPr>
        <w:t>2020年，公司经营发展水平的整体提升不仅在于“矛”的突破，“盾”的厚度也有显著增加，伴随着业务管理要求的不断提高，公司中后台部门的服务能力大幅提升，促进了公司全年营收的较好表现，也为公司未来在股票主板上市奠定了重要的财务基础。</w:t>
      </w:r>
    </w:p>
    <w:p>
      <w:pPr>
        <w:spacing w:line="520" w:lineRule="exact"/>
        <w:ind w:firstLine="560" w:firstLineChars="200"/>
        <w:rPr>
          <w:rFonts w:hint="eastAsia" w:ascii="宋体" w:hAnsi="宋体" w:eastAsia="宋体" w:cs="宋体"/>
          <w:sz w:val="28"/>
          <w:szCs w:val="28"/>
        </w:rPr>
      </w:pPr>
      <w:r>
        <w:rPr>
          <w:rFonts w:hint="eastAsia" w:ascii="宋体" w:hAnsi="宋体"/>
          <w:sz w:val="28"/>
          <w:szCs w:val="28"/>
        </w:rPr>
        <w:t>面向2020年，</w:t>
      </w:r>
      <w:r>
        <w:rPr>
          <w:rFonts w:hint="eastAsia" w:ascii="宋体" w:hAnsi="宋体" w:eastAsia="宋体" w:cs="宋体"/>
          <w:sz w:val="28"/>
          <w:szCs w:val="28"/>
        </w:rPr>
        <w:t>公司经营思路将围绕行业新形势，深化内外部质量提升，保持稳定增长，保证公司长期发展质量，对股东负责。公司将着力推动交易型业务成体量发展，实现亿级规模呈倍数增长，用两年的时间，全面改善公司的长效盈利能力。</w:t>
      </w:r>
    </w:p>
    <w:p>
      <w:pPr>
        <w:spacing w:line="520" w:lineRule="exact"/>
        <w:ind w:firstLine="560" w:firstLineChars="200"/>
        <w:rPr>
          <w:rFonts w:hint="eastAsia" w:ascii="宋体" w:hAnsi="宋体" w:eastAsia="宋体" w:cs="宋体"/>
          <w:sz w:val="28"/>
          <w:szCs w:val="28"/>
        </w:rPr>
      </w:pPr>
      <w:bookmarkStart w:id="6" w:name="_Toc38626384"/>
      <w:r>
        <w:rPr>
          <w:rFonts w:hint="eastAsia" w:ascii="宋体" w:hAnsi="宋体" w:eastAsia="宋体" w:cs="宋体"/>
          <w:sz w:val="28"/>
          <w:szCs w:val="28"/>
        </w:rPr>
        <w:t>新的一年承载新的希望，新的一年书写新的篇章。2021年是中国十四五规划的开局之年，也是中国共产党建党100周年。新湖期货将积极把握市场发展机遇，通过专业的衍生品综合服务体系，承担起金融机构的社会责任，服务实体经济，助力乡村振兴。公司相信</w:t>
      </w:r>
      <w:r>
        <w:rPr>
          <w:rFonts w:hint="eastAsia" w:ascii="宋体" w:hAnsi="宋体" w:cs="宋体"/>
          <w:sz w:val="28"/>
          <w:szCs w:val="28"/>
          <w:lang w:val="en-US" w:eastAsia="zh-CN"/>
        </w:rPr>
        <w:t>党和政府的关怀下，</w:t>
      </w:r>
      <w:r>
        <w:rPr>
          <w:rFonts w:hint="eastAsia" w:ascii="宋体" w:hAnsi="宋体" w:eastAsia="宋体" w:cs="宋体"/>
          <w:sz w:val="28"/>
          <w:szCs w:val="28"/>
        </w:rPr>
        <w:t>在股东的一如既往的支持下，在全体员工的共同努力下，</w:t>
      </w:r>
      <w:r>
        <w:rPr>
          <w:rFonts w:hint="eastAsia" w:ascii="宋体" w:hAnsi="宋体" w:cs="宋体"/>
          <w:sz w:val="28"/>
          <w:szCs w:val="28"/>
          <w:lang w:val="en-US" w:eastAsia="zh-CN"/>
        </w:rPr>
        <w:t>在社会各界的支持下，</w:t>
      </w:r>
      <w:r>
        <w:rPr>
          <w:rFonts w:hint="eastAsia" w:ascii="宋体" w:hAnsi="宋体" w:eastAsia="宋体" w:cs="宋体"/>
          <w:sz w:val="28"/>
          <w:szCs w:val="28"/>
        </w:rPr>
        <w:t>必将不断创造辉煌，业务再上新的台阶。</w:t>
      </w:r>
    </w:p>
    <w:p>
      <w:pPr>
        <w:pStyle w:val="19"/>
        <w:spacing w:before="0" w:after="0" w:line="520" w:lineRule="exact"/>
        <w:rPr>
          <w:rFonts w:hint="eastAsia"/>
        </w:rPr>
      </w:pPr>
      <w:r>
        <w:rPr>
          <w:rFonts w:hint="eastAsia"/>
        </w:rPr>
        <w:t>3. 公司概况</w:t>
      </w:r>
      <w:bookmarkEnd w:id="6"/>
    </w:p>
    <w:p>
      <w:pPr>
        <w:pStyle w:val="2"/>
        <w:spacing w:before="0" w:after="0" w:line="520" w:lineRule="exact"/>
        <w:rPr>
          <w:rFonts w:hint="eastAsia"/>
        </w:rPr>
      </w:pPr>
      <w:bookmarkStart w:id="7" w:name="_Toc38626385"/>
      <w:r>
        <w:rPr>
          <w:rFonts w:hint="eastAsia"/>
        </w:rPr>
        <w:t>3.1公司概况</w:t>
      </w:r>
      <w:bookmarkEnd w:id="7"/>
    </w:p>
    <w:p>
      <w:pPr>
        <w:widowControl/>
        <w:spacing w:line="520" w:lineRule="exact"/>
        <w:ind w:firstLine="560" w:firstLineChars="200"/>
        <w:jc w:val="left"/>
        <w:textAlignment w:val="top"/>
        <w:rPr>
          <w:rFonts w:hint="eastAsia" w:ascii="宋体" w:hAnsi="宋体"/>
          <w:sz w:val="28"/>
          <w:szCs w:val="28"/>
        </w:rPr>
      </w:pPr>
      <w:r>
        <w:rPr>
          <w:rFonts w:hint="eastAsia" w:ascii="宋体" w:hAnsi="宋体"/>
          <w:sz w:val="28"/>
          <w:szCs w:val="28"/>
        </w:rPr>
        <w:t>新湖期货有限公司（以下简称“新湖期货”）成立于1995年，由浙江新湖集团股份有限公司控股，拥有500多名员工，在全国设有2</w:t>
      </w:r>
      <w:r>
        <w:rPr>
          <w:rFonts w:hint="eastAsia" w:ascii="宋体" w:hAnsi="宋体"/>
          <w:sz w:val="28"/>
          <w:szCs w:val="28"/>
          <w:lang w:val="en-US" w:eastAsia="zh-CN"/>
        </w:rPr>
        <w:t>8</w:t>
      </w:r>
      <w:r>
        <w:rPr>
          <w:rFonts w:hint="eastAsia" w:ascii="宋体" w:hAnsi="宋体"/>
          <w:sz w:val="28"/>
          <w:szCs w:val="28"/>
        </w:rPr>
        <w:t>家分支机构，行业内的影响力日益扩大。新湖期货为中国期货业协会副会长单位、上海期货同业公会监事长单位、大连商品交易所理事单位、郑州商品交易所理事单位等。新湖期货是大连商品交易所、郑州商品交易所、上海期货交易所、上海国际能源交易中心会员，中国金融期货交易所全面结算会员。新湖期货可从事商品期货经纪、金融期货经纪、股票期权业务、投资咨询业务、资产管理业务、风险管理子公司业务等。公司致力于打造以管理客户资产规模为基础，产业服务和产品运营为核心，风险管理和财富管理为方向，线下与线上业务结合为手段，先进的IT技术为支持，总部业务条线与分支机构专业部门为支点，合规管理为文化的</w:t>
      </w:r>
      <w:r>
        <w:rPr>
          <w:rFonts w:hint="eastAsia" w:ascii="宋体" w:hAnsi="宋体"/>
          <w:sz w:val="28"/>
          <w:szCs w:val="28"/>
          <w:lang w:val="en-US" w:eastAsia="zh-CN"/>
        </w:rPr>
        <w:t>专业驱动型</w:t>
      </w:r>
      <w:r>
        <w:rPr>
          <w:rFonts w:hint="eastAsia" w:ascii="宋体" w:hAnsi="宋体"/>
          <w:sz w:val="28"/>
          <w:szCs w:val="28"/>
        </w:rPr>
        <w:t>综合性衍生品金融服务平台。</w:t>
      </w:r>
    </w:p>
    <w:p>
      <w:pPr>
        <w:pStyle w:val="2"/>
        <w:spacing w:before="0" w:after="0" w:line="520" w:lineRule="exact"/>
      </w:pPr>
      <w:bookmarkStart w:id="8" w:name="_Toc38626386"/>
      <w:r>
        <w:rPr>
          <w:rFonts w:hint="eastAsia"/>
        </w:rPr>
        <w:t>3.2 公司基本情况</w:t>
      </w:r>
      <w:bookmarkEnd w:id="8"/>
    </w:p>
    <w:p>
      <w:pPr>
        <w:spacing w:line="520" w:lineRule="exact"/>
        <w:ind w:firstLine="601"/>
        <w:rPr>
          <w:rFonts w:ascii="宋体" w:hAnsi="宋体"/>
          <w:sz w:val="28"/>
          <w:szCs w:val="28"/>
        </w:rPr>
      </w:pPr>
      <w:r>
        <w:rPr>
          <w:rFonts w:hint="eastAsia" w:ascii="宋体" w:hAnsi="宋体"/>
          <w:sz w:val="28"/>
          <w:szCs w:val="28"/>
        </w:rPr>
        <w:t>(1)公司法定中文名称：新湖期货</w:t>
      </w:r>
      <w:r>
        <w:rPr>
          <w:rFonts w:hint="eastAsia" w:ascii="宋体" w:hAnsi="宋体"/>
          <w:sz w:val="28"/>
          <w:szCs w:val="28"/>
          <w:lang w:val="en-US" w:eastAsia="zh-CN"/>
        </w:rPr>
        <w:t>股份</w:t>
      </w:r>
      <w:r>
        <w:rPr>
          <w:rFonts w:hint="eastAsia" w:ascii="宋体" w:hAnsi="宋体"/>
          <w:sz w:val="28"/>
          <w:szCs w:val="28"/>
        </w:rPr>
        <w:t>有限公司；</w:t>
      </w:r>
    </w:p>
    <w:p>
      <w:pPr>
        <w:spacing w:line="520" w:lineRule="exact"/>
        <w:ind w:firstLine="601"/>
        <w:rPr>
          <w:rFonts w:ascii="宋体" w:hAnsi="宋体"/>
          <w:sz w:val="28"/>
          <w:szCs w:val="28"/>
        </w:rPr>
      </w:pPr>
      <w:r>
        <w:rPr>
          <w:rFonts w:hint="eastAsia" w:ascii="宋体" w:hAnsi="宋体"/>
          <w:sz w:val="28"/>
          <w:szCs w:val="28"/>
        </w:rPr>
        <w:t>(2)英文名称：XINHU FUTURES CO.,LTD.</w:t>
      </w:r>
    </w:p>
    <w:p>
      <w:pPr>
        <w:spacing w:line="520" w:lineRule="exact"/>
        <w:ind w:firstLine="601"/>
        <w:rPr>
          <w:rFonts w:ascii="宋体" w:hAnsi="宋体"/>
          <w:sz w:val="28"/>
          <w:szCs w:val="28"/>
        </w:rPr>
      </w:pPr>
      <w:r>
        <w:rPr>
          <w:rFonts w:hint="eastAsia" w:ascii="宋体" w:hAnsi="宋体"/>
          <w:sz w:val="28"/>
          <w:szCs w:val="28"/>
        </w:rPr>
        <w:t>(3)公司法定代表人：马文胜</w:t>
      </w:r>
    </w:p>
    <w:p>
      <w:pPr>
        <w:spacing w:line="520" w:lineRule="exact"/>
        <w:ind w:firstLine="601"/>
        <w:rPr>
          <w:rFonts w:ascii="宋体" w:hAnsi="宋体"/>
          <w:sz w:val="28"/>
          <w:szCs w:val="28"/>
        </w:rPr>
      </w:pPr>
      <w:r>
        <w:rPr>
          <w:rFonts w:hint="eastAsia" w:ascii="宋体" w:hAnsi="宋体"/>
          <w:sz w:val="28"/>
          <w:szCs w:val="28"/>
        </w:rPr>
        <w:t>(4)公司总经理：杨熙东</w:t>
      </w:r>
    </w:p>
    <w:p>
      <w:pPr>
        <w:spacing w:line="520" w:lineRule="exact"/>
        <w:ind w:firstLine="601"/>
        <w:rPr>
          <w:rFonts w:ascii="宋体" w:hAnsi="宋体"/>
          <w:sz w:val="28"/>
          <w:szCs w:val="28"/>
        </w:rPr>
      </w:pPr>
      <w:r>
        <w:rPr>
          <w:rFonts w:hint="eastAsia" w:ascii="宋体" w:hAnsi="宋体"/>
          <w:sz w:val="28"/>
          <w:szCs w:val="28"/>
        </w:rPr>
        <w:t>(5)公司注册资本：</w:t>
      </w:r>
      <w:r>
        <w:rPr>
          <w:rFonts w:hint="eastAsia" w:ascii="宋体" w:hAnsi="宋体"/>
          <w:sz w:val="28"/>
          <w:szCs w:val="28"/>
          <w:lang w:val="en-US" w:eastAsia="zh-CN"/>
        </w:rPr>
        <w:t>360</w:t>
      </w:r>
      <w:r>
        <w:rPr>
          <w:rFonts w:hint="eastAsia" w:ascii="宋体" w:hAnsi="宋体"/>
          <w:sz w:val="28"/>
          <w:szCs w:val="28"/>
        </w:rPr>
        <w:t>00万元</w:t>
      </w:r>
    </w:p>
    <w:p>
      <w:pPr>
        <w:spacing w:line="520" w:lineRule="exact"/>
        <w:ind w:firstLine="601"/>
        <w:rPr>
          <w:rFonts w:ascii="宋体" w:hAnsi="宋体"/>
          <w:sz w:val="28"/>
          <w:szCs w:val="28"/>
        </w:rPr>
      </w:pPr>
      <w:r>
        <w:rPr>
          <w:rFonts w:hint="eastAsia" w:ascii="宋体" w:hAnsi="宋体"/>
          <w:sz w:val="28"/>
          <w:szCs w:val="28"/>
        </w:rPr>
        <w:t>(6)经营范围：商品期货经纪、金融期货经纪、期货投资咨询、资产管理</w:t>
      </w:r>
    </w:p>
    <w:p>
      <w:pPr>
        <w:spacing w:line="520" w:lineRule="exact"/>
        <w:ind w:firstLine="601"/>
        <w:rPr>
          <w:rFonts w:ascii="宋体" w:hAnsi="宋体"/>
          <w:sz w:val="28"/>
          <w:szCs w:val="28"/>
        </w:rPr>
      </w:pPr>
      <w:r>
        <w:rPr>
          <w:rFonts w:hint="eastAsia" w:ascii="宋体" w:hAnsi="宋体"/>
          <w:sz w:val="28"/>
          <w:szCs w:val="28"/>
        </w:rPr>
        <w:t>(7)公司注册地址：上海市静安区裕通路100号36层、</w:t>
      </w:r>
      <w:r>
        <w:rPr>
          <w:rFonts w:hint="eastAsia" w:ascii="宋体" w:hAnsi="宋体" w:cs="宋体"/>
          <w:kern w:val="0"/>
          <w:sz w:val="28"/>
          <w:szCs w:val="28"/>
        </w:rPr>
        <w:t>38层3801-5室</w:t>
      </w:r>
    </w:p>
    <w:p>
      <w:pPr>
        <w:spacing w:line="520" w:lineRule="exact"/>
        <w:ind w:firstLine="601"/>
        <w:rPr>
          <w:rFonts w:ascii="宋体" w:hAnsi="宋体"/>
          <w:sz w:val="28"/>
          <w:szCs w:val="28"/>
        </w:rPr>
      </w:pPr>
      <w:r>
        <w:rPr>
          <w:rFonts w:hint="eastAsia" w:ascii="宋体" w:hAnsi="宋体"/>
          <w:sz w:val="28"/>
          <w:szCs w:val="28"/>
        </w:rPr>
        <w:t>(8)公司办公地址：上海市静安区裕通路100号36层、</w:t>
      </w:r>
      <w:r>
        <w:rPr>
          <w:rFonts w:hint="eastAsia" w:ascii="宋体" w:hAnsi="宋体" w:cs="宋体"/>
          <w:kern w:val="0"/>
          <w:sz w:val="28"/>
          <w:szCs w:val="28"/>
        </w:rPr>
        <w:t>38层3801-5室</w:t>
      </w:r>
    </w:p>
    <w:p>
      <w:pPr>
        <w:spacing w:line="520" w:lineRule="exact"/>
        <w:ind w:firstLine="601"/>
        <w:rPr>
          <w:rFonts w:ascii="宋体" w:hAnsi="宋体"/>
          <w:sz w:val="28"/>
          <w:szCs w:val="28"/>
        </w:rPr>
      </w:pPr>
      <w:r>
        <w:rPr>
          <w:rFonts w:hint="eastAsia" w:ascii="宋体" w:hAnsi="宋体"/>
          <w:sz w:val="28"/>
          <w:szCs w:val="28"/>
        </w:rPr>
        <w:t>(9)公司国际互联网网址：http:// www.xinhu.cn</w:t>
      </w:r>
    </w:p>
    <w:p>
      <w:pPr>
        <w:spacing w:line="520" w:lineRule="exact"/>
        <w:ind w:firstLine="601"/>
        <w:rPr>
          <w:rFonts w:ascii="宋体" w:hAnsi="宋体"/>
          <w:sz w:val="28"/>
          <w:szCs w:val="28"/>
        </w:rPr>
      </w:pPr>
      <w:r>
        <w:rPr>
          <w:rFonts w:hint="eastAsia" w:ascii="宋体" w:hAnsi="宋体"/>
          <w:sz w:val="28"/>
          <w:szCs w:val="28"/>
        </w:rPr>
        <w:t>(10)电子信箱：xh@xhqh.net.cn</w:t>
      </w:r>
    </w:p>
    <w:p>
      <w:pPr>
        <w:spacing w:line="520" w:lineRule="exact"/>
        <w:ind w:firstLine="601"/>
        <w:rPr>
          <w:rFonts w:ascii="宋体" w:hAnsi="宋体"/>
          <w:sz w:val="28"/>
          <w:szCs w:val="28"/>
        </w:rPr>
      </w:pPr>
      <w:r>
        <w:rPr>
          <w:rFonts w:hint="eastAsia" w:ascii="宋体" w:hAnsi="宋体"/>
          <w:sz w:val="28"/>
          <w:szCs w:val="28"/>
        </w:rPr>
        <w:t>(11)传    真：021-22155577</w:t>
      </w:r>
    </w:p>
    <w:p>
      <w:pPr>
        <w:spacing w:line="520" w:lineRule="exact"/>
        <w:ind w:firstLine="601"/>
        <w:rPr>
          <w:rFonts w:ascii="宋体" w:hAnsi="宋体"/>
          <w:sz w:val="32"/>
          <w:szCs w:val="32"/>
        </w:rPr>
      </w:pPr>
      <w:r>
        <w:rPr>
          <w:rFonts w:hint="eastAsia" w:ascii="宋体" w:hAnsi="宋体"/>
          <w:sz w:val="28"/>
          <w:szCs w:val="28"/>
        </w:rPr>
        <w:t>(12)公司组织架构：</w:t>
      </w:r>
    </w:p>
    <w:p>
      <w:pPr>
        <w:ind w:firstLine="600"/>
        <w:rPr>
          <w:rFonts w:ascii="宋体" w:hAnsi="宋体"/>
          <w:sz w:val="30"/>
          <w:szCs w:val="30"/>
        </w:rPr>
      </w:pPr>
      <w:r>
        <w:drawing>
          <wp:inline distT="0" distB="0" distL="0" distR="0">
            <wp:extent cx="5114925" cy="4770755"/>
            <wp:effectExtent l="0" t="0" r="9525" b="10795"/>
            <wp:docPr id="5" name="图片 5" descr="D:\2020年11月.png2020年11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2020年11月.png2020年11月"/>
                    <pic:cNvPicPr>
                      <a:picLocks noChangeAspect="1"/>
                    </pic:cNvPicPr>
                  </pic:nvPicPr>
                  <pic:blipFill>
                    <a:blip r:embed="rId9"/>
                    <a:srcRect/>
                    <a:stretch>
                      <a:fillRect/>
                    </a:stretch>
                  </pic:blipFill>
                  <pic:spPr>
                    <a:xfrm>
                      <a:off x="0" y="0"/>
                      <a:ext cx="5114925" cy="4770901"/>
                    </a:xfrm>
                    <a:prstGeom prst="rect">
                      <a:avLst/>
                    </a:prstGeom>
                  </pic:spPr>
                </pic:pic>
              </a:graphicData>
            </a:graphic>
          </wp:inline>
        </w:drawing>
      </w:r>
    </w:p>
    <w:p>
      <w:pPr>
        <w:pStyle w:val="2"/>
        <w:spacing w:before="0" w:after="0" w:line="520" w:lineRule="exact"/>
      </w:pPr>
      <w:bookmarkStart w:id="9" w:name="_Toc38626387"/>
      <w:r>
        <w:rPr>
          <w:rFonts w:hint="eastAsia"/>
        </w:rPr>
        <w:t>3.3 公司大事记</w:t>
      </w:r>
      <w:bookmarkEnd w:id="9"/>
    </w:p>
    <w:p>
      <w:pPr>
        <w:widowControl/>
        <w:spacing w:line="520" w:lineRule="exact"/>
        <w:ind w:firstLine="555"/>
        <w:rPr>
          <w:rFonts w:hint="eastAsia" w:asciiTheme="minorEastAsia" w:hAnsiTheme="minorEastAsia" w:eastAsiaTheme="minorEastAsia" w:cstheme="minorEastAsia"/>
          <w:b w:val="0"/>
          <w:bCs w:val="0"/>
          <w:color w:val="000000"/>
          <w:sz w:val="28"/>
          <w:szCs w:val="28"/>
        </w:rPr>
      </w:pPr>
      <w:bookmarkStart w:id="10" w:name="_Toc38626388"/>
      <w:r>
        <w:rPr>
          <w:rFonts w:hint="eastAsia" w:asciiTheme="minorEastAsia" w:hAnsiTheme="minorEastAsia" w:eastAsiaTheme="minorEastAsia" w:cstheme="minorEastAsia"/>
          <w:b w:val="0"/>
          <w:bCs w:val="0"/>
          <w:color w:val="000000"/>
          <w:sz w:val="28"/>
          <w:szCs w:val="28"/>
        </w:rPr>
        <w:t>1</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rPr>
        <w:t>互助共情、齐心抗疫</w:t>
      </w:r>
    </w:p>
    <w:p>
      <w:pPr>
        <w:spacing w:line="520" w:lineRule="exact"/>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2020年，公司卓有成效的抗疫复工工作和支援社会各界的义举得到证监会、中期协、上海市、静安区等相关方面一致好评，被树为区域企业抗疫典型。时任上海市委常委、组织部长、现任上海市委副书记于绍良，静安区政协主席丁宝定分别莅临公司走访指导工作。</w:t>
      </w:r>
    </w:p>
    <w:p>
      <w:pPr>
        <w:widowControl/>
        <w:spacing w:line="520" w:lineRule="exact"/>
        <w:ind w:firstLine="555"/>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rPr>
        <w:t>2</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rPr>
        <w:t>启动IPO</w:t>
      </w:r>
      <w:r>
        <w:rPr>
          <w:rFonts w:hint="eastAsia" w:asciiTheme="minorEastAsia" w:hAnsiTheme="minorEastAsia" w:eastAsiaTheme="minorEastAsia" w:cstheme="minorEastAsia"/>
          <w:b w:val="0"/>
          <w:bCs w:val="0"/>
          <w:color w:val="000000"/>
          <w:sz w:val="28"/>
          <w:szCs w:val="28"/>
          <w:lang w:val="en-US" w:eastAsia="zh-CN"/>
        </w:rPr>
        <w:t>上市</w:t>
      </w:r>
    </w:p>
    <w:p>
      <w:pPr>
        <w:spacing w:line="520" w:lineRule="exact"/>
        <w:ind w:firstLine="560" w:firstLineChars="200"/>
        <w:rPr>
          <w:rFonts w:hint="eastAsia" w:ascii="宋体" w:hAnsi="宋体" w:cs="宋体"/>
          <w:color w:val="000000"/>
          <w:sz w:val="28"/>
          <w:szCs w:val="28"/>
        </w:rPr>
      </w:pPr>
      <w:r>
        <w:rPr>
          <w:rFonts w:hint="eastAsia" w:asciiTheme="minorEastAsia" w:hAnsiTheme="minorEastAsia" w:cstheme="minorEastAsia"/>
          <w:sz w:val="28"/>
          <w:szCs w:val="28"/>
        </w:rPr>
        <w:t>2020年1月，公司启动IPO上市进程</w:t>
      </w:r>
      <w:r>
        <w:rPr>
          <w:rFonts w:hint="eastAsia" w:ascii="宋体" w:hAnsi="宋体" w:cs="宋体"/>
          <w:sz w:val="28"/>
          <w:szCs w:val="28"/>
        </w:rPr>
        <w:t>。4月16日，公司召开股份公司创立大会和第一次董事会、监事会；</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15</w:t>
      </w:r>
      <w:r>
        <w:rPr>
          <w:rFonts w:hint="eastAsia" w:ascii="宋体" w:hAnsi="宋体" w:cs="宋体"/>
          <w:sz w:val="28"/>
          <w:szCs w:val="28"/>
        </w:rPr>
        <w:t>日，经过工商和监管核准，公司正式更名为新湖期货股份有限公司，完成公司股改工作。5月21日公司进入IPO上市辅导期，年内公司开展了历史状况梳理、2018年1月至2020年11月财务资料审计、子公司全面尽职调查、董监高关联关系和流水调查等一系列工作。</w:t>
      </w:r>
    </w:p>
    <w:p>
      <w:pPr>
        <w:widowControl/>
        <w:spacing w:line="520" w:lineRule="exact"/>
        <w:ind w:firstLine="555"/>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3</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rPr>
        <w:t>保险+期货”扶贫模式</w:t>
      </w:r>
      <w:r>
        <w:rPr>
          <w:rFonts w:hint="eastAsia" w:asciiTheme="minorEastAsia" w:hAnsiTheme="minorEastAsia" w:eastAsiaTheme="minorEastAsia" w:cstheme="minorEastAsia"/>
          <w:b w:val="0"/>
          <w:bCs w:val="0"/>
          <w:color w:val="000000"/>
          <w:sz w:val="28"/>
          <w:szCs w:val="28"/>
          <w:lang w:val="en-US" w:eastAsia="zh-CN"/>
        </w:rPr>
        <w:t>继续走在行业前列</w:t>
      </w:r>
    </w:p>
    <w:p>
      <w:pPr>
        <w:spacing w:line="520" w:lineRule="exact"/>
        <w:ind w:firstLine="645"/>
        <w:jc w:val="left"/>
        <w:rPr>
          <w:rFonts w:ascii="宋体" w:hAnsi="宋体" w:cs="宋体"/>
          <w:bCs/>
          <w:sz w:val="28"/>
          <w:szCs w:val="28"/>
        </w:rPr>
      </w:pPr>
      <w:r>
        <w:rPr>
          <w:rFonts w:hint="eastAsia" w:ascii="宋体" w:hAnsi="宋体" w:cs="宋体"/>
          <w:sz w:val="28"/>
          <w:szCs w:val="28"/>
        </w:rPr>
        <w:t>2020年，公司新开展“保险+期货”项目16个，覆盖黑龙江、河北、河南等13个省市自治区，覆盖建档立卡贫困户1万多户，预计最终赔付额将达5000多万元。</w:t>
      </w:r>
      <w:r>
        <w:rPr>
          <w:rFonts w:hint="eastAsia" w:ascii="宋体" w:hAnsi="宋体" w:cs="宋体"/>
          <w:sz w:val="28"/>
          <w:szCs w:val="28"/>
          <w:lang w:val="en-US" w:eastAsia="zh-CN"/>
        </w:rPr>
        <w:t>其中，</w:t>
      </w:r>
      <w:r>
        <w:rPr>
          <w:rFonts w:hint="eastAsia" w:ascii="宋体" w:hAnsi="宋体" w:cs="宋体"/>
          <w:sz w:val="28"/>
          <w:szCs w:val="28"/>
        </w:rPr>
        <w:t>海南省白沙天然橡胶县域全覆盖项目、河南省太康县“农民收入保障计划”系列项目、云南会泽县生猪饲料成本项目，为三地摘去国家级贫困的帽子作出直接贡献。</w:t>
      </w:r>
    </w:p>
    <w:p>
      <w:pPr>
        <w:widowControl/>
        <w:spacing w:line="520" w:lineRule="exact"/>
        <w:ind w:firstLine="555"/>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4</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rPr>
        <w:t>五线四板块研究体系发力，正在形成公司核心专业能力</w:t>
      </w:r>
    </w:p>
    <w:p>
      <w:pPr>
        <w:spacing w:line="520" w:lineRule="exact"/>
        <w:ind w:firstLine="560" w:firstLineChars="200"/>
        <w:rPr>
          <w:rFonts w:hint="eastAsia" w:ascii="宋体" w:hAnsi="宋体" w:cs="宋体"/>
          <w:bCs/>
          <w:sz w:val="28"/>
          <w:szCs w:val="28"/>
        </w:rPr>
      </w:pPr>
      <w:r>
        <w:rPr>
          <w:rFonts w:hint="eastAsia" w:ascii="宋体" w:hAnsi="宋体" w:cs="宋体"/>
          <w:sz w:val="28"/>
          <w:szCs w:val="28"/>
        </w:rPr>
        <w:t>公司对中台部门的业务资源、研究模式、管理线条进行了全面统合梳理，开始建设“立足标准化，兼顾差异化和个性化需求”的投研业务服务体系，试行积分制考核特色方案，成效显著，产出了一系列</w:t>
      </w:r>
      <w:r>
        <w:rPr>
          <w:rFonts w:hint="eastAsia" w:ascii="宋体" w:hAnsi="宋体" w:cs="宋体"/>
          <w:bCs/>
          <w:sz w:val="28"/>
          <w:szCs w:val="28"/>
        </w:rPr>
        <w:t>优秀研究成果。2019年11月至</w:t>
      </w:r>
      <w:r>
        <w:rPr>
          <w:rFonts w:hint="eastAsia" w:ascii="宋体" w:hAnsi="宋体" w:cs="宋体"/>
          <w:bCs/>
          <w:sz w:val="28"/>
          <w:szCs w:val="28"/>
          <w:lang w:val="en-US" w:eastAsia="zh-CN"/>
        </w:rPr>
        <w:t>2020年12月</w:t>
      </w:r>
      <w:r>
        <w:rPr>
          <w:rFonts w:hint="eastAsia" w:ascii="宋体" w:hAnsi="宋体" w:cs="宋体"/>
          <w:bCs/>
          <w:sz w:val="28"/>
          <w:szCs w:val="28"/>
        </w:rPr>
        <w:t>，公司“五线四板块”策略研报行情研判胜率70%以上，对公司经纪业务开发、风险管理业务交易、资管自主策略发展形成强大支持。</w:t>
      </w:r>
    </w:p>
    <w:p>
      <w:pPr>
        <w:widowControl/>
        <w:spacing w:line="520" w:lineRule="exact"/>
        <w:ind w:firstLine="555"/>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5</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lang w:val="en-US" w:eastAsia="zh-CN"/>
        </w:rPr>
        <w:t>7000万元</w:t>
      </w:r>
      <w:r>
        <w:rPr>
          <w:rFonts w:hint="eastAsia" w:asciiTheme="minorEastAsia" w:hAnsiTheme="minorEastAsia" w:eastAsiaTheme="minorEastAsia" w:cstheme="minorEastAsia"/>
          <w:b w:val="0"/>
          <w:bCs w:val="0"/>
          <w:color w:val="000000"/>
          <w:sz w:val="28"/>
          <w:szCs w:val="28"/>
        </w:rPr>
        <w:t>增资新湖瑞丰</w:t>
      </w:r>
    </w:p>
    <w:p>
      <w:pPr>
        <w:spacing w:line="520" w:lineRule="exact"/>
        <w:ind w:firstLine="560" w:firstLineChars="200"/>
        <w:rPr>
          <w:rFonts w:ascii="黑体" w:hAnsi="黑体" w:eastAsia="黑体" w:cstheme="minorEastAsia"/>
          <w:sz w:val="28"/>
          <w:szCs w:val="28"/>
        </w:rPr>
      </w:pPr>
      <w:r>
        <w:rPr>
          <w:rFonts w:hint="eastAsia" w:asciiTheme="minorEastAsia" w:hAnsiTheme="minorEastAsia" w:eastAsiaTheme="minorEastAsia" w:cstheme="minorEastAsia"/>
          <w:sz w:val="28"/>
          <w:szCs w:val="28"/>
        </w:rPr>
        <w:t>2020年4月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公司完成对上海新湖瑞丰金融服务有限公司7000万元增资事宜，</w:t>
      </w:r>
      <w:r>
        <w:rPr>
          <w:rFonts w:hint="eastAsia" w:asciiTheme="minorEastAsia" w:hAnsiTheme="minorEastAsia" w:eastAsiaTheme="minorEastAsia" w:cstheme="minorEastAsia"/>
          <w:sz w:val="28"/>
          <w:szCs w:val="28"/>
          <w:lang w:val="en-US" w:eastAsia="zh-CN"/>
        </w:rPr>
        <w:t>使</w:t>
      </w:r>
      <w:r>
        <w:rPr>
          <w:rFonts w:hint="eastAsia" w:asciiTheme="minorEastAsia" w:hAnsiTheme="minorEastAsia" w:eastAsiaTheme="minorEastAsia" w:cstheme="minorEastAsia"/>
          <w:sz w:val="28"/>
          <w:szCs w:val="28"/>
        </w:rPr>
        <w:t>其注册资本达32000万元，进一步增强其服务实体经济的能力。</w:t>
      </w:r>
    </w:p>
    <w:p>
      <w:pPr>
        <w:widowControl/>
        <w:spacing w:line="520" w:lineRule="exact"/>
        <w:ind w:firstLine="555"/>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6</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rPr>
        <w:t>设立上海普陀分公司和保定分公司</w:t>
      </w:r>
    </w:p>
    <w:p>
      <w:pPr>
        <w:widowControl/>
        <w:spacing w:line="520" w:lineRule="exact"/>
        <w:ind w:firstLine="555"/>
        <w:rPr>
          <w:rFonts w:hint="eastAsia" w:ascii="宋体" w:hAnsi="宋体" w:cs="宋体"/>
          <w:sz w:val="28"/>
          <w:szCs w:val="28"/>
        </w:rPr>
      </w:pPr>
      <w:r>
        <w:rPr>
          <w:rFonts w:hint="eastAsia" w:ascii="宋体" w:hAnsi="宋体" w:cs="仿宋"/>
          <w:sz w:val="28"/>
          <w:szCs w:val="28"/>
        </w:rPr>
        <w:t>为进一步利用上海区位优势和河北承接首都功能转移红利，2020年6月公司设立上海普陀分公司和保定分公司</w:t>
      </w:r>
      <w:r>
        <w:rPr>
          <w:rFonts w:hint="eastAsia" w:ascii="宋体" w:hAnsi="宋体" w:cs="宋体"/>
          <w:sz w:val="28"/>
          <w:szCs w:val="28"/>
        </w:rPr>
        <w:t>。至此，公司分支机构增长至28家，服务网络覆盖面进一步提升。</w:t>
      </w:r>
    </w:p>
    <w:p>
      <w:pPr>
        <w:widowControl/>
        <w:spacing w:line="520" w:lineRule="exact"/>
        <w:ind w:firstLine="555"/>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7</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rPr>
        <w:t>新湖国际期货收购日本冈地香港公司客户资产</w:t>
      </w:r>
    </w:p>
    <w:p>
      <w:pPr>
        <w:spacing w:line="520" w:lineRule="exact"/>
        <w:ind w:firstLine="560" w:firstLineChars="200"/>
        <w:rPr>
          <w:rFonts w:ascii="宋体" w:hAnsi="宋体" w:cs="宋体"/>
          <w:sz w:val="28"/>
          <w:szCs w:val="28"/>
        </w:rPr>
      </w:pPr>
      <w:r>
        <w:rPr>
          <w:rFonts w:hint="eastAsia" w:ascii="宋体" w:hAnsi="宋体" w:cs="宋体"/>
          <w:sz w:val="28"/>
          <w:szCs w:val="28"/>
        </w:rPr>
        <w:t>为全面加强境外国际业务通道建设，公司于2020年11月收购日资企业“OKACHI”（日本冈地香港公司）业务并引进优秀管理人才，为拥抱“中国价格”时代打下良好基础。</w:t>
      </w:r>
    </w:p>
    <w:p>
      <w:pPr>
        <w:widowControl/>
        <w:spacing w:line="520" w:lineRule="exact"/>
        <w:ind w:firstLine="555"/>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8</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rPr>
        <w:t>申城论剑实盘大赛品牌效应初显</w:t>
      </w:r>
    </w:p>
    <w:p>
      <w:pPr>
        <w:spacing w:line="52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公司实盘大赛品牌价值初步彰显，已逐步成长为同类赛事前三品牌。大赛参赛人数达2781人，较去年同期增长400%；权益规模达13.6亿元，较去年同期增长400%。</w:t>
      </w:r>
    </w:p>
    <w:p>
      <w:pPr>
        <w:widowControl/>
        <w:spacing w:line="520" w:lineRule="exact"/>
        <w:ind w:firstLine="555"/>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9</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rPr>
        <w:t>“两个一切”经营发展理念</w:t>
      </w:r>
      <w:r>
        <w:rPr>
          <w:rFonts w:hint="eastAsia" w:asciiTheme="minorEastAsia" w:hAnsiTheme="minorEastAsia" w:eastAsiaTheme="minorEastAsia" w:cstheme="minorEastAsia"/>
          <w:b w:val="0"/>
          <w:bCs w:val="0"/>
          <w:color w:val="000000"/>
          <w:sz w:val="28"/>
          <w:szCs w:val="28"/>
          <w:lang w:val="en-US" w:eastAsia="zh-CN"/>
        </w:rPr>
        <w:t>提出</w:t>
      </w:r>
    </w:p>
    <w:p>
      <w:pPr>
        <w:widowControl/>
        <w:spacing w:line="520" w:lineRule="exact"/>
        <w:ind w:firstLine="555"/>
        <w:rPr>
          <w:rFonts w:hint="eastAsia" w:ascii="黑体" w:hAnsi="黑体" w:eastAsia="宋体"/>
          <w:color w:val="000000"/>
          <w:sz w:val="28"/>
          <w:szCs w:val="28"/>
          <w:lang w:val="en-US" w:eastAsia="zh-CN"/>
        </w:rPr>
      </w:pPr>
      <w:r>
        <w:rPr>
          <w:rFonts w:hint="eastAsia" w:ascii="宋体" w:hAnsi="宋体" w:cs="宋体"/>
          <w:bCs/>
          <w:sz w:val="28"/>
          <w:szCs w:val="28"/>
        </w:rPr>
        <w:t>2020年4月公司提出“一切为了提升客户的盈利能力，一切为了优秀员工的持续成长”企业核心发展理念，号召全体员工以服务提升客户盈利为终极使命，围绕该目标搭建员工发展平台，促使优秀人才脱颖而出，快速成长，进而带动公司业务全方位地提升</w:t>
      </w:r>
      <w:r>
        <w:rPr>
          <w:rFonts w:hint="eastAsia" w:ascii="宋体" w:hAnsi="宋体" w:cs="宋体"/>
          <w:bCs/>
          <w:sz w:val="28"/>
          <w:szCs w:val="28"/>
          <w:lang w:eastAsia="zh-CN"/>
        </w:rPr>
        <w:t>。</w:t>
      </w:r>
    </w:p>
    <w:p>
      <w:pPr>
        <w:pStyle w:val="2"/>
        <w:spacing w:before="0" w:after="0" w:line="520" w:lineRule="exact"/>
      </w:pPr>
      <w:r>
        <w:rPr>
          <w:rFonts w:hint="eastAsia"/>
        </w:rPr>
        <w:t>3.4 公司利益相关者关系</w:t>
      </w:r>
      <w:bookmarkEnd w:id="10"/>
    </w:p>
    <w:p>
      <w:pPr>
        <w:spacing w:line="520" w:lineRule="exact"/>
        <w:ind w:firstLine="601"/>
        <w:rPr>
          <w:rFonts w:ascii="宋体" w:hAnsi="宋体"/>
          <w:sz w:val="28"/>
          <w:szCs w:val="28"/>
        </w:rPr>
      </w:pPr>
      <w:r>
        <w:rPr>
          <w:rFonts w:hint="eastAsia" w:ascii="宋体" w:hAnsi="宋体"/>
          <w:sz w:val="28"/>
          <w:szCs w:val="28"/>
        </w:rPr>
        <w:t>公司在经营过程中坚持倡导：为国家承担</w:t>
      </w:r>
      <w:r>
        <w:rPr>
          <w:rFonts w:hint="eastAsia" w:ascii="宋体" w:hAnsi="宋体"/>
          <w:sz w:val="28"/>
          <w:szCs w:val="28"/>
          <w:lang w:val="en-US" w:eastAsia="zh-CN"/>
        </w:rPr>
        <w:t>发展</w:t>
      </w:r>
      <w:r>
        <w:rPr>
          <w:rFonts w:hint="eastAsia" w:ascii="宋体" w:hAnsi="宋体"/>
          <w:sz w:val="28"/>
          <w:szCs w:val="28"/>
        </w:rPr>
        <w:t>使命，为客户增加财富，为股东创造价值，为员工打造未来，为社会做出贡献，为环境履行职责。</w:t>
      </w:r>
    </w:p>
    <w:p>
      <w:pPr>
        <w:spacing w:line="520" w:lineRule="exact"/>
        <w:ind w:firstLine="601"/>
        <w:rPr>
          <w:rFonts w:ascii="宋体" w:hAnsi="宋体"/>
          <w:sz w:val="28"/>
          <w:szCs w:val="28"/>
        </w:rPr>
      </w:pPr>
      <w:r>
        <w:rPr>
          <w:rFonts w:hint="eastAsia" w:ascii="宋体" w:hAnsi="宋体"/>
          <w:sz w:val="28"/>
          <w:szCs w:val="28"/>
        </w:rPr>
        <w:t>（1）为国家承担使命</w:t>
      </w:r>
    </w:p>
    <w:p>
      <w:pPr>
        <w:spacing w:line="520" w:lineRule="exact"/>
        <w:ind w:firstLine="601"/>
        <w:rPr>
          <w:rFonts w:ascii="宋体" w:hAnsi="宋体"/>
          <w:sz w:val="28"/>
          <w:szCs w:val="28"/>
        </w:rPr>
      </w:pPr>
      <w:r>
        <w:rPr>
          <w:rFonts w:hint="eastAsia" w:ascii="宋体" w:hAnsi="宋体"/>
          <w:sz w:val="28"/>
          <w:szCs w:val="28"/>
        </w:rPr>
        <w:t>公司</w:t>
      </w:r>
      <w:r>
        <w:rPr>
          <w:rFonts w:hint="eastAsia" w:ascii="宋体" w:hAnsi="宋体"/>
          <w:sz w:val="28"/>
          <w:szCs w:val="28"/>
          <w:lang w:val="en-US" w:eastAsia="zh-CN"/>
        </w:rPr>
        <w:t>紧紧跟随</w:t>
      </w:r>
      <w:r>
        <w:rPr>
          <w:rFonts w:hint="eastAsia" w:ascii="宋体" w:hAnsi="宋体"/>
          <w:sz w:val="28"/>
          <w:szCs w:val="28"/>
        </w:rPr>
        <w:t>国家金融体系改革脚步，坚持立足期货及其衍生品行业，服务中国特色社会主义事业，</w:t>
      </w:r>
      <w:r>
        <w:rPr>
          <w:rFonts w:hint="eastAsia" w:ascii="宋体" w:hAnsi="宋体"/>
          <w:sz w:val="28"/>
          <w:szCs w:val="28"/>
          <w:lang w:val="en-US" w:eastAsia="zh-CN"/>
        </w:rPr>
        <w:t>创新创造</w:t>
      </w:r>
      <w:r>
        <w:rPr>
          <w:rFonts w:hint="eastAsia" w:ascii="宋体" w:hAnsi="宋体"/>
          <w:sz w:val="28"/>
          <w:szCs w:val="28"/>
        </w:rPr>
        <w:t>专业化产品和</w:t>
      </w:r>
      <w:r>
        <w:rPr>
          <w:rFonts w:hint="eastAsia" w:ascii="宋体" w:hAnsi="宋体"/>
          <w:sz w:val="28"/>
          <w:szCs w:val="28"/>
          <w:lang w:val="en-US" w:eastAsia="zh-CN"/>
        </w:rPr>
        <w:t>服务</w:t>
      </w:r>
      <w:r>
        <w:rPr>
          <w:rFonts w:hint="eastAsia" w:ascii="宋体" w:hAnsi="宋体"/>
          <w:sz w:val="28"/>
          <w:szCs w:val="28"/>
        </w:rPr>
        <w:t>模式,为国家经济发展和金融改革作出自身应有贡献。</w:t>
      </w:r>
    </w:p>
    <w:p>
      <w:pPr>
        <w:spacing w:line="520" w:lineRule="exact"/>
        <w:ind w:firstLine="600"/>
        <w:rPr>
          <w:rFonts w:ascii="宋体" w:hAnsi="宋体"/>
          <w:sz w:val="28"/>
          <w:szCs w:val="28"/>
        </w:rPr>
      </w:pPr>
      <w:r>
        <w:rPr>
          <w:rFonts w:hint="eastAsia" w:ascii="宋体" w:hAnsi="宋体"/>
          <w:sz w:val="28"/>
          <w:szCs w:val="28"/>
        </w:rPr>
        <w:t>（2）为客户增加财富</w:t>
      </w:r>
    </w:p>
    <w:p>
      <w:pPr>
        <w:spacing w:line="520" w:lineRule="exact"/>
        <w:ind w:firstLine="601"/>
        <w:rPr>
          <w:rFonts w:ascii="宋体" w:hAnsi="宋体"/>
          <w:sz w:val="28"/>
          <w:szCs w:val="28"/>
        </w:rPr>
      </w:pPr>
      <w:r>
        <w:rPr>
          <w:rFonts w:hint="eastAsia" w:ascii="宋体" w:hAnsi="宋体"/>
          <w:sz w:val="28"/>
          <w:szCs w:val="28"/>
        </w:rPr>
        <w:t>公司坚持倾听客户声音，从客户需求出发，持续改善服务品质，通过产品、技术、营销等多方面的创新，致力于为客户提供多元化、专业化的金融服务，不断为客户增加财富。</w:t>
      </w:r>
    </w:p>
    <w:p>
      <w:pPr>
        <w:spacing w:line="520" w:lineRule="exact"/>
        <w:ind w:firstLine="600"/>
        <w:rPr>
          <w:rFonts w:ascii="宋体" w:hAnsi="宋体"/>
          <w:sz w:val="28"/>
          <w:szCs w:val="28"/>
        </w:rPr>
      </w:pPr>
      <w:r>
        <w:rPr>
          <w:rFonts w:hint="eastAsia" w:ascii="宋体" w:hAnsi="宋体"/>
          <w:sz w:val="28"/>
          <w:szCs w:val="28"/>
        </w:rPr>
        <w:t>（3）为股东创造价值</w:t>
      </w:r>
    </w:p>
    <w:p>
      <w:pPr>
        <w:spacing w:line="520" w:lineRule="exact"/>
        <w:ind w:firstLine="601"/>
        <w:rPr>
          <w:rFonts w:ascii="宋体" w:hAnsi="宋体"/>
          <w:sz w:val="28"/>
          <w:szCs w:val="28"/>
        </w:rPr>
      </w:pPr>
      <w:r>
        <w:rPr>
          <w:rFonts w:hint="eastAsia" w:ascii="宋体" w:hAnsi="宋体"/>
          <w:sz w:val="28"/>
          <w:szCs w:val="28"/>
        </w:rPr>
        <w:t>公司注重维护股东权益，竭力为股东实现最佳投资回报。公司按照法律法规和监管要求，结合治理实践，不断优化公司治理结构，努力实现业务稳健增长，提升品牌形象，为股东创造长远价值。</w:t>
      </w:r>
    </w:p>
    <w:p>
      <w:pPr>
        <w:spacing w:line="520" w:lineRule="exact"/>
        <w:ind w:firstLine="600"/>
        <w:rPr>
          <w:rFonts w:ascii="宋体" w:hAnsi="宋体"/>
          <w:sz w:val="28"/>
          <w:szCs w:val="28"/>
        </w:rPr>
      </w:pPr>
      <w:r>
        <w:rPr>
          <w:rFonts w:hint="eastAsia" w:ascii="宋体" w:hAnsi="宋体"/>
          <w:sz w:val="28"/>
          <w:szCs w:val="28"/>
        </w:rPr>
        <w:t>（4）为员工打造未来</w:t>
      </w:r>
    </w:p>
    <w:p>
      <w:pPr>
        <w:spacing w:line="520" w:lineRule="exact"/>
        <w:ind w:firstLine="601"/>
        <w:rPr>
          <w:rFonts w:ascii="宋体" w:hAnsi="宋体"/>
          <w:sz w:val="28"/>
          <w:szCs w:val="28"/>
        </w:rPr>
      </w:pPr>
      <w:r>
        <w:rPr>
          <w:rFonts w:hint="eastAsia" w:ascii="宋体" w:hAnsi="宋体"/>
          <w:sz w:val="28"/>
          <w:szCs w:val="28"/>
        </w:rPr>
        <w:t>公司关注员工的职业发展，将员工成长纳入公司发展规划，通过依法维护员工权益，实施岗位培训和外部培训相结合的政策，确保员工获得技能提升及中长期发展机会，实现员工和公司共同成长。</w:t>
      </w:r>
    </w:p>
    <w:p>
      <w:pPr>
        <w:spacing w:line="520" w:lineRule="exact"/>
        <w:ind w:firstLine="600"/>
        <w:rPr>
          <w:rFonts w:ascii="宋体" w:hAnsi="宋体"/>
          <w:sz w:val="28"/>
          <w:szCs w:val="28"/>
        </w:rPr>
      </w:pPr>
      <w:r>
        <w:rPr>
          <w:rFonts w:hint="eastAsia" w:ascii="宋体" w:hAnsi="宋体"/>
          <w:sz w:val="28"/>
          <w:szCs w:val="28"/>
        </w:rPr>
        <w:t>（5）为社会做出贡献</w:t>
      </w:r>
    </w:p>
    <w:p>
      <w:pPr>
        <w:spacing w:line="520" w:lineRule="exact"/>
        <w:ind w:firstLine="601"/>
        <w:rPr>
          <w:rFonts w:ascii="宋体" w:hAnsi="宋体"/>
          <w:sz w:val="28"/>
          <w:szCs w:val="28"/>
        </w:rPr>
      </w:pPr>
      <w:r>
        <w:rPr>
          <w:rFonts w:hint="eastAsia" w:ascii="宋体" w:hAnsi="宋体"/>
          <w:sz w:val="28"/>
          <w:szCs w:val="28"/>
        </w:rPr>
        <w:t>公司坚持依法合规经营，积极履行纳税义务，深度介</w:t>
      </w:r>
      <w:r>
        <w:rPr>
          <w:rFonts w:ascii="宋体" w:hAnsi="宋体"/>
          <w:sz w:val="28"/>
          <w:szCs w:val="28"/>
        </w:rPr>
        <w:t>入</w:t>
      </w:r>
      <w:r>
        <w:rPr>
          <w:rFonts w:hint="eastAsia" w:ascii="宋体" w:hAnsi="宋体" w:cs="仿宋"/>
          <w:sz w:val="28"/>
          <w:szCs w:val="28"/>
        </w:rPr>
        <w:t>“三农”和区域扶贫工作,</w:t>
      </w:r>
      <w:r>
        <w:rPr>
          <w:rFonts w:hint="eastAsia" w:ascii="宋体" w:hAnsi="宋体"/>
          <w:sz w:val="28"/>
          <w:szCs w:val="28"/>
        </w:rPr>
        <w:t>将自身的成长和实体经济发展紧密结合，创新参与了包括“保险+期货”在内的一系列服务模式，开展精准扶贫项目,为落后地区产业发展贡献绵薄之力。</w:t>
      </w:r>
    </w:p>
    <w:p>
      <w:pPr>
        <w:spacing w:line="520" w:lineRule="exact"/>
        <w:ind w:firstLine="600"/>
        <w:rPr>
          <w:rFonts w:ascii="宋体" w:hAnsi="宋体"/>
          <w:sz w:val="28"/>
          <w:szCs w:val="28"/>
        </w:rPr>
      </w:pPr>
      <w:r>
        <w:rPr>
          <w:rFonts w:hint="eastAsia" w:ascii="宋体" w:hAnsi="宋体"/>
          <w:sz w:val="28"/>
          <w:szCs w:val="28"/>
        </w:rPr>
        <w:t>（6）为环境履行职责</w:t>
      </w:r>
    </w:p>
    <w:p>
      <w:pPr>
        <w:spacing w:line="520" w:lineRule="exact"/>
        <w:ind w:firstLine="601"/>
        <w:rPr>
          <w:rFonts w:ascii="宋体" w:hAnsi="宋体"/>
          <w:sz w:val="28"/>
          <w:szCs w:val="28"/>
        </w:rPr>
      </w:pPr>
      <w:r>
        <w:rPr>
          <w:rFonts w:hint="eastAsia" w:ascii="宋体" w:hAnsi="宋体"/>
          <w:sz w:val="28"/>
          <w:szCs w:val="28"/>
        </w:rPr>
        <w:t>公司倡导绿色消费理念，深度介入包括废铜废铁在内的废旧资源再利用产业，还通过开展垃圾分类、节水节电改造、节约办公能耗等活动，进一步深入贯彻低碳运营理念，降低运营能耗，为环境保护积极履行职责。</w:t>
      </w:r>
    </w:p>
    <w:p>
      <w:pPr>
        <w:pStyle w:val="2"/>
        <w:spacing w:before="0" w:after="0" w:line="520" w:lineRule="exact"/>
      </w:pPr>
      <w:bookmarkStart w:id="11" w:name="_Toc38626389"/>
      <w:r>
        <w:rPr>
          <w:rFonts w:hint="eastAsia"/>
        </w:rPr>
        <w:t>3.5本报告内容的范围和概况</w:t>
      </w:r>
      <w:bookmarkEnd w:id="11"/>
    </w:p>
    <w:p>
      <w:pPr>
        <w:spacing w:line="520" w:lineRule="exact"/>
        <w:ind w:firstLine="560" w:firstLineChars="200"/>
        <w:rPr>
          <w:rFonts w:ascii="宋体" w:hAnsi="宋体"/>
          <w:sz w:val="28"/>
          <w:szCs w:val="28"/>
        </w:rPr>
      </w:pPr>
      <w:r>
        <w:rPr>
          <w:rFonts w:hint="eastAsia" w:ascii="宋体" w:hAnsi="宋体"/>
          <w:sz w:val="28"/>
          <w:szCs w:val="28"/>
        </w:rPr>
        <w:t>本报告介绍了20</w:t>
      </w:r>
      <w:r>
        <w:rPr>
          <w:rFonts w:hint="eastAsia" w:ascii="宋体" w:hAnsi="宋体"/>
          <w:sz w:val="28"/>
          <w:szCs w:val="28"/>
          <w:lang w:val="en-US" w:eastAsia="zh-CN"/>
        </w:rPr>
        <w:t>20</w:t>
      </w:r>
      <w:r>
        <w:rPr>
          <w:rFonts w:hint="eastAsia" w:ascii="宋体" w:hAnsi="宋体"/>
          <w:sz w:val="28"/>
          <w:szCs w:val="28"/>
        </w:rPr>
        <w:t>年度新湖期货有限公司积极承担经济、社会和环境责任方面的活动及表现。时间范围为20</w:t>
      </w:r>
      <w:r>
        <w:rPr>
          <w:rFonts w:hint="eastAsia" w:ascii="宋体" w:hAnsi="宋体"/>
          <w:sz w:val="28"/>
          <w:szCs w:val="28"/>
          <w:lang w:val="en-US" w:eastAsia="zh-CN"/>
        </w:rPr>
        <w:t>20</w:t>
      </w:r>
      <w:r>
        <w:rPr>
          <w:rFonts w:hint="eastAsia" w:ascii="宋体" w:hAnsi="宋体"/>
          <w:sz w:val="28"/>
          <w:szCs w:val="28"/>
        </w:rPr>
        <w:t>年1月1日至20</w:t>
      </w:r>
      <w:r>
        <w:rPr>
          <w:rFonts w:hint="eastAsia" w:ascii="宋体" w:hAnsi="宋体"/>
          <w:sz w:val="28"/>
          <w:szCs w:val="28"/>
          <w:lang w:val="en-US" w:eastAsia="zh-CN"/>
        </w:rPr>
        <w:t>20</w:t>
      </w:r>
      <w:r>
        <w:rPr>
          <w:rFonts w:hint="eastAsia" w:ascii="宋体" w:hAnsi="宋体"/>
          <w:sz w:val="28"/>
          <w:szCs w:val="28"/>
        </w:rPr>
        <w:t>年12月31日。</w:t>
      </w:r>
    </w:p>
    <w:p>
      <w:pPr>
        <w:spacing w:line="520" w:lineRule="exact"/>
        <w:ind w:firstLine="560" w:firstLineChars="200"/>
        <w:rPr>
          <w:rFonts w:ascii="宋体" w:hAnsi="宋体"/>
          <w:sz w:val="28"/>
          <w:szCs w:val="28"/>
        </w:rPr>
      </w:pPr>
      <w:r>
        <w:rPr>
          <w:rFonts w:hint="eastAsia" w:ascii="宋体" w:hAnsi="宋体"/>
          <w:sz w:val="28"/>
          <w:szCs w:val="28"/>
        </w:rPr>
        <w:t>本报告依据《上海期货公司社会责任报告编制框架指引》以及《上海期货公司社会责任工作指引》文件编制。</w:t>
      </w:r>
    </w:p>
    <w:p>
      <w:pPr>
        <w:pStyle w:val="19"/>
        <w:spacing w:before="0" w:after="0" w:line="520" w:lineRule="exact"/>
      </w:pPr>
      <w:bookmarkStart w:id="12" w:name="_Toc38626390"/>
      <w:r>
        <w:rPr>
          <w:rFonts w:hint="eastAsia"/>
        </w:rPr>
        <w:t>4. 公司治理结构与管理体制</w:t>
      </w:r>
      <w:bookmarkEnd w:id="12"/>
    </w:p>
    <w:p>
      <w:pPr>
        <w:pStyle w:val="2"/>
        <w:spacing w:before="0" w:after="0" w:line="520" w:lineRule="exact"/>
        <w:rPr>
          <w:sz w:val="28"/>
          <w:szCs w:val="28"/>
        </w:rPr>
      </w:pPr>
      <w:bookmarkStart w:id="13" w:name="_Toc38626391"/>
      <w:r>
        <w:rPr>
          <w:rFonts w:hint="eastAsia"/>
          <w:sz w:val="28"/>
          <w:szCs w:val="28"/>
        </w:rPr>
        <w:t>4.1 完善法人治理</w:t>
      </w:r>
      <w:bookmarkEnd w:id="13"/>
    </w:p>
    <w:p>
      <w:pPr>
        <w:spacing w:line="520" w:lineRule="exact"/>
        <w:ind w:firstLine="560" w:firstLineChars="200"/>
        <w:rPr>
          <w:rFonts w:hint="eastAsia" w:ascii="宋体" w:hAnsi="宋体" w:cs="宋体"/>
          <w:sz w:val="28"/>
          <w:szCs w:val="28"/>
        </w:rPr>
      </w:pPr>
      <w:r>
        <w:rPr>
          <w:rFonts w:hint="eastAsia" w:ascii="宋体" w:hAnsi="宋体" w:cs="宋体"/>
          <w:sz w:val="28"/>
          <w:szCs w:val="28"/>
        </w:rPr>
        <w:t>公司法人治理结构系按照《中华人民共和国公司法》、《期货交易管理条例》、《期货经纪公司治理准则》等有关法律法规规定建立实施，并不断健全与完善法人治理结构。</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（1）公司不断健全与完善内部管理制度，建立有效的制衡机制，科学明确地划分股东会、董事会、监事会、经理层的职责，完善议事制度和决策程序。</w:t>
      </w:r>
      <w:r>
        <w:rPr>
          <w:rFonts w:hint="eastAsia" w:ascii="宋体" w:hAnsi="宋体" w:cs="宋体"/>
          <w:sz w:val="28"/>
          <w:szCs w:val="28"/>
          <w:lang w:val="en-US" w:eastAsia="zh-CN"/>
        </w:rPr>
        <w:t>2020年4月公司召开创立大会进行股份制改革，由“新湖期货有限公司”变更为“新湖期货股份有限公司</w:t>
      </w:r>
      <w:r>
        <w:rPr>
          <w:rFonts w:hint="default" w:ascii="宋体" w:hAnsi="宋体" w:cs="宋体"/>
          <w:sz w:val="28"/>
          <w:szCs w:val="28"/>
          <w:lang w:val="en-US" w:eastAsia="zh-CN"/>
        </w:rPr>
        <w:t>”</w:t>
      </w:r>
      <w:r>
        <w:rPr>
          <w:rFonts w:hint="eastAsia" w:ascii="宋体" w:hAnsi="宋体" w:cs="宋体"/>
          <w:sz w:val="28"/>
          <w:szCs w:val="28"/>
          <w:lang w:val="en-US" w:eastAsia="zh-CN"/>
        </w:rPr>
        <w:t>，董事会下设四个专业委员会，分别为：审计委员会、战略委员会、提名与薪酬委员会、风险管理委员会，根据职能划分审议相关事项。</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（2）公司内部机构设置责权分明、相互制衡。同时完善各岗位责任制度，建立岗位操作流程和工作标准，对重点岗位和重点业务进行重点监控和稽核。</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（3）公司建立独立董事制度。公司聘请教育层次较高且有较强业务、学术能力的蔡启孝和</w:t>
      </w:r>
      <w:r>
        <w:rPr>
          <w:rFonts w:hint="eastAsia" w:ascii="宋体" w:hAnsi="宋体" w:cs="宋体"/>
          <w:sz w:val="28"/>
          <w:szCs w:val="28"/>
          <w:lang w:val="en-US" w:eastAsia="zh-CN"/>
        </w:rPr>
        <w:t>裘益政</w:t>
      </w:r>
      <w:r>
        <w:rPr>
          <w:rFonts w:hint="eastAsia" w:ascii="宋体" w:hAnsi="宋体" w:cs="宋体"/>
          <w:sz w:val="28"/>
          <w:szCs w:val="28"/>
        </w:rPr>
        <w:t>先生担任公司独立董事。</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（4）公司高管人员之间、高管人员与主要部门负责人以及核心业务岗位人员之间不存在任何亲属关系。</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5）公司的董事、独立董事、监事、总经理均按照法律法规要求向中国证监会派出机构报告有关事项。公司高管人员均按中国证监会派出机构要求，遇到重大事项均按职责分工所定，按规定时间报告，公司制定了重大事项报告制度。</w:t>
      </w:r>
    </w:p>
    <w:p>
      <w:pPr>
        <w:spacing w:line="520" w:lineRule="exact"/>
        <w:ind w:firstLine="560" w:firstLineChars="200"/>
      </w:pPr>
      <w:r>
        <w:rPr>
          <w:rFonts w:hint="eastAsia" w:ascii="宋体" w:hAnsi="宋体" w:cs="宋体"/>
          <w:sz w:val="28"/>
          <w:szCs w:val="28"/>
        </w:rPr>
        <w:t>本报告期内，公司法人治理结构建立完善，并有效执行</w:t>
      </w:r>
      <w:r>
        <w:rPr>
          <w:rFonts w:hint="eastAsia" w:ascii="宋体" w:hAnsi="宋体" w:cs="宋体"/>
          <w:sz w:val="28"/>
          <w:szCs w:val="28"/>
          <w:lang w:eastAsia="zh-CN"/>
        </w:rPr>
        <w:t>。</w:t>
      </w:r>
    </w:p>
    <w:p>
      <w:pPr>
        <w:pStyle w:val="2"/>
        <w:spacing w:before="0" w:after="0" w:line="520" w:lineRule="exact"/>
      </w:pPr>
      <w:bookmarkStart w:id="14" w:name="_Toc38626392"/>
      <w:r>
        <w:rPr>
          <w:rFonts w:hint="eastAsia"/>
        </w:rPr>
        <w:t>4.2 董事、监事、高级管理人员情况</w:t>
      </w:r>
      <w:bookmarkEnd w:id="14"/>
    </w:p>
    <w:tbl>
      <w:tblPr>
        <w:tblStyle w:val="20"/>
        <w:tblW w:w="9317" w:type="dxa"/>
        <w:tblInd w:w="0" w:type="dxa"/>
        <w:tblLayout w:type="fixed"/>
        <w:tblCellMar>
          <w:top w:w="0" w:type="dxa"/>
          <w:left w:w="108" w:type="dxa"/>
          <w:bottom w:w="0" w:type="dxa"/>
          <w:right w:w="108" w:type="dxa"/>
        </w:tblCellMar>
      </w:tblPr>
      <w:tblGrid>
        <w:gridCol w:w="953"/>
        <w:gridCol w:w="1134"/>
        <w:gridCol w:w="993"/>
        <w:gridCol w:w="6237"/>
      </w:tblGrid>
      <w:tr>
        <w:tblPrEx>
          <w:tblCellMar>
            <w:top w:w="0" w:type="dxa"/>
            <w:left w:w="108" w:type="dxa"/>
            <w:bottom w:w="0" w:type="dxa"/>
            <w:right w:w="108" w:type="dxa"/>
          </w:tblCellMar>
        </w:tblPrEx>
        <w:trPr>
          <w:trHeight w:val="379" w:hRule="atLeast"/>
        </w:trPr>
        <w:tc>
          <w:tcPr>
            <w:tcW w:w="9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职务</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任期起始日期</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工作经历（期货公司）</w:t>
            </w:r>
          </w:p>
        </w:tc>
      </w:tr>
      <w:tr>
        <w:tblPrEx>
          <w:tblCellMar>
            <w:top w:w="0" w:type="dxa"/>
            <w:left w:w="108" w:type="dxa"/>
            <w:bottom w:w="0" w:type="dxa"/>
            <w:right w:w="108" w:type="dxa"/>
          </w:tblCellMar>
        </w:tblPrEx>
        <w:trPr>
          <w:trHeight w:val="1470"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马文胜</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董事长</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2008.04-至今</w:t>
            </w:r>
          </w:p>
        </w:tc>
        <w:tc>
          <w:tcPr>
            <w:tcW w:w="6237" w:type="dxa"/>
            <w:tcBorders>
              <w:top w:val="nil"/>
              <w:left w:val="nil"/>
              <w:bottom w:val="single" w:color="auto" w:sz="4" w:space="0"/>
              <w:right w:val="single" w:color="auto" w:sz="4" w:space="0"/>
            </w:tcBorders>
            <w:shd w:val="clear" w:color="000000" w:fill="FFFFFF"/>
            <w:vAlign w:val="center"/>
          </w:tcPr>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1993.08-1996.04    深圳中期期货经纪有限公司员工及部门经理</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1996.05-1999.11   深圳中期期货经纪有限公司副总经理</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1999.12-2003.11  深圳中期期货经纪有限公司总经理</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2003.12-2006.07  中国国际期货经纪有限公司执行总裁</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2006.08-2008.03  中国国际期货经纪有限公司总裁</w:t>
            </w:r>
          </w:p>
          <w:p>
            <w:pPr>
              <w:widowControl/>
              <w:tabs>
                <w:tab w:val="left" w:pos="210"/>
                <w:tab w:val="left" w:pos="1721"/>
              </w:tabs>
              <w:jc w:val="left"/>
              <w:rPr>
                <w:rFonts w:ascii="宋体" w:hAnsi="宋体" w:eastAsia="宋体" w:cs="宋体"/>
                <w:kern w:val="0"/>
                <w:sz w:val="18"/>
                <w:szCs w:val="18"/>
              </w:rPr>
            </w:pPr>
            <w:r>
              <w:rPr>
                <w:rFonts w:hint="eastAsia" w:ascii="宋体" w:hAnsi="宋体" w:eastAsia="宋体" w:cs="宋体"/>
                <w:kern w:val="0"/>
                <w:sz w:val="18"/>
                <w:szCs w:val="18"/>
              </w:rPr>
              <w:t>2008.04-2008.05   新湖期货有限公司拟任董事长</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2008.05-2020.04  新湖期货有限公司董事长</w:t>
            </w:r>
          </w:p>
          <w:p>
            <w:pPr>
              <w:widowControl/>
              <w:jc w:val="left"/>
              <w:rPr>
                <w:rFonts w:ascii="宋体" w:hAnsi="宋体" w:cs="宋体"/>
                <w:kern w:val="0"/>
                <w:sz w:val="20"/>
                <w:szCs w:val="20"/>
              </w:rPr>
            </w:pPr>
            <w:r>
              <w:rPr>
                <w:rFonts w:hint="eastAsia" w:ascii="宋体" w:hAnsi="宋体" w:eastAsia="宋体" w:cs="宋体"/>
                <w:kern w:val="0"/>
                <w:sz w:val="18"/>
                <w:szCs w:val="18"/>
              </w:rPr>
              <w:t>2020.04-至今    新湖期货股份有限公司董事长</w:t>
            </w:r>
          </w:p>
        </w:tc>
      </w:tr>
      <w:tr>
        <w:tblPrEx>
          <w:tblCellMar>
            <w:top w:w="0" w:type="dxa"/>
            <w:left w:w="108" w:type="dxa"/>
            <w:bottom w:w="0" w:type="dxa"/>
            <w:right w:w="108" w:type="dxa"/>
          </w:tblCellMar>
        </w:tblPrEx>
        <w:trPr>
          <w:trHeight w:val="1470"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ind w:firstLine="100" w:firstLineChars="50"/>
              <w:rPr>
                <w:rFonts w:ascii="宋体" w:hAnsi="宋体" w:cs="宋体"/>
                <w:sz w:val="20"/>
                <w:szCs w:val="20"/>
              </w:rPr>
            </w:pPr>
            <w:r>
              <w:rPr>
                <w:rFonts w:hint="eastAsia" w:ascii="宋体" w:hAnsi="宋体" w:cs="宋体"/>
                <w:sz w:val="20"/>
                <w:szCs w:val="20"/>
              </w:rPr>
              <w:t>蔡启孝</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独立董事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2017.06-至今</w:t>
            </w:r>
          </w:p>
        </w:tc>
        <w:tc>
          <w:tcPr>
            <w:tcW w:w="6237" w:type="dxa"/>
            <w:tcBorders>
              <w:top w:val="nil"/>
              <w:left w:val="nil"/>
              <w:bottom w:val="single" w:color="auto" w:sz="4" w:space="0"/>
              <w:right w:val="single" w:color="auto" w:sz="4" w:space="0"/>
            </w:tcBorders>
            <w:shd w:val="clear" w:color="000000" w:fill="FFFFFF"/>
            <w:vAlign w:val="center"/>
          </w:tcPr>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1996.08—1997.10 </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中国电力信托投资有限责任公司职员</w:t>
            </w:r>
          </w:p>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1997.11—1999.12</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 xml:space="preserve"> 国浩律师集团律师事务所律师</w:t>
            </w:r>
          </w:p>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2000.01—2001.11 </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大福证券有限公司北京代表处高级经理</w:t>
            </w:r>
          </w:p>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2001.11—2004.04 </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北京信利律师事务所律师</w:t>
            </w:r>
          </w:p>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2004.05-至今    </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 xml:space="preserve"> 北京天达共和律师事务所合伙人</w:t>
            </w:r>
          </w:p>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2017.06-2020.04 </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新湖期货有限公司独立董事</w:t>
            </w:r>
          </w:p>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2020.04-至今     </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新湖期货股份有限公司独立董事</w:t>
            </w:r>
          </w:p>
        </w:tc>
      </w:tr>
      <w:tr>
        <w:tblPrEx>
          <w:tblCellMar>
            <w:top w:w="0" w:type="dxa"/>
            <w:left w:w="108" w:type="dxa"/>
            <w:bottom w:w="0" w:type="dxa"/>
            <w:right w:w="108" w:type="dxa"/>
          </w:tblCellMar>
        </w:tblPrEx>
        <w:trPr>
          <w:trHeight w:val="1746"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ind w:firstLine="90" w:firstLineChars="50"/>
              <w:jc w:val="left"/>
              <w:rPr>
                <w:rFonts w:ascii="宋体" w:hAnsi="宋体" w:cs="宋体"/>
                <w:sz w:val="20"/>
                <w:szCs w:val="20"/>
              </w:rPr>
            </w:pPr>
            <w:r>
              <w:rPr>
                <w:rFonts w:hint="eastAsia" w:ascii="宋体" w:hAnsi="宋体" w:eastAsia="宋体" w:cs="宋体"/>
                <w:kern w:val="0"/>
                <w:sz w:val="18"/>
                <w:szCs w:val="18"/>
              </w:rPr>
              <w:t>裘益政</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独立董事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2020.06</w:t>
            </w:r>
          </w:p>
          <w:p>
            <w:pPr>
              <w:widowControl/>
              <w:jc w:val="left"/>
              <w:rPr>
                <w:rFonts w:ascii="宋体" w:hAnsi="宋体" w:cs="宋体"/>
                <w:kern w:val="0"/>
                <w:sz w:val="20"/>
                <w:szCs w:val="20"/>
              </w:rPr>
            </w:pPr>
            <w:r>
              <w:rPr>
                <w:rFonts w:hint="eastAsia" w:ascii="宋体" w:hAnsi="宋体" w:cs="宋体"/>
                <w:kern w:val="0"/>
                <w:sz w:val="20"/>
                <w:szCs w:val="20"/>
              </w:rPr>
              <w:t>-至今</w:t>
            </w:r>
          </w:p>
        </w:tc>
        <w:tc>
          <w:tcPr>
            <w:tcW w:w="6237" w:type="dxa"/>
            <w:tcBorders>
              <w:top w:val="nil"/>
              <w:left w:val="nil"/>
              <w:bottom w:val="single" w:color="auto" w:sz="4" w:space="0"/>
              <w:right w:val="single" w:color="auto" w:sz="4" w:space="0"/>
            </w:tcBorders>
            <w:shd w:val="clear" w:color="000000" w:fill="FFFFFF"/>
            <w:vAlign w:val="center"/>
          </w:tcPr>
          <w:p>
            <w:pPr>
              <w:widowControl/>
              <w:tabs>
                <w:tab w:val="left" w:pos="210"/>
              </w:tabs>
              <w:jc w:val="left"/>
              <w:rPr>
                <w:rFonts w:hint="eastAsia" w:ascii="宋体" w:hAnsi="宋体" w:cs="宋体"/>
                <w:kern w:val="0"/>
                <w:sz w:val="18"/>
                <w:szCs w:val="18"/>
                <w:lang w:val="en-US" w:eastAsia="zh-CN"/>
              </w:rPr>
            </w:pPr>
            <w:r>
              <w:rPr>
                <w:rFonts w:hint="eastAsia" w:ascii="宋体" w:hAnsi="宋体" w:eastAsia="宋体" w:cs="宋体"/>
                <w:kern w:val="0"/>
                <w:sz w:val="18"/>
                <w:szCs w:val="18"/>
                <w:lang w:val="en-US" w:eastAsia="zh-CN"/>
              </w:rPr>
              <w:t>1995.07</w:t>
            </w:r>
            <w:r>
              <w:rPr>
                <w:rFonts w:hint="eastAsia" w:ascii="宋体" w:hAnsi="宋体" w:cs="宋体"/>
                <w:kern w:val="0"/>
                <w:sz w:val="18"/>
                <w:szCs w:val="18"/>
                <w:lang w:val="en-US" w:eastAsia="zh-CN"/>
              </w:rPr>
              <w:t>-1999.08    江西景德镇陶瓷大学讲师</w:t>
            </w:r>
          </w:p>
          <w:p>
            <w:pPr>
              <w:widowControl/>
              <w:tabs>
                <w:tab w:val="left" w:pos="210"/>
              </w:tabs>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2002.09-2007.09    浙江工商大学讲师、教授</w:t>
            </w:r>
          </w:p>
          <w:p>
            <w:pPr>
              <w:widowControl/>
              <w:tabs>
                <w:tab w:val="left" w:pos="210"/>
              </w:tabs>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2007.10-2010.11    浙江工商大学财务系主任</w:t>
            </w:r>
          </w:p>
          <w:p>
            <w:pPr>
              <w:widowControl/>
              <w:tabs>
                <w:tab w:val="left" w:pos="210"/>
              </w:tabs>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2010.12-2019.12    浙江工商大学财会学院副院长</w:t>
            </w:r>
          </w:p>
          <w:p>
            <w:pPr>
              <w:widowControl/>
              <w:tabs>
                <w:tab w:val="left" w:pos="210"/>
              </w:tabs>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2019.12-至今       浙江工商大学财会学院党委书记、副院长</w:t>
            </w:r>
          </w:p>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2020.04-2020.06    拟任新湖期货股份有限公司独立董事</w:t>
            </w:r>
          </w:p>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2020.06-至今       新湖期货股份有限公司独立董事</w:t>
            </w:r>
          </w:p>
        </w:tc>
      </w:tr>
      <w:tr>
        <w:tblPrEx>
          <w:tblCellMar>
            <w:top w:w="0" w:type="dxa"/>
            <w:left w:w="108" w:type="dxa"/>
            <w:bottom w:w="0" w:type="dxa"/>
            <w:right w:w="108" w:type="dxa"/>
          </w:tblCellMar>
        </w:tblPrEx>
        <w:trPr>
          <w:trHeight w:val="1131"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林兴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董事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2017.05-至今</w:t>
            </w:r>
          </w:p>
        </w:tc>
        <w:tc>
          <w:tcPr>
            <w:tcW w:w="6237"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1985.09-1990.09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杭州商学院教师</w:t>
            </w:r>
          </w:p>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1990.10-1991.08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浙江省化肥农药工业公司会计</w:t>
            </w:r>
          </w:p>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1991.09-1997.04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浙江省煤化工有限责任公司财务部经理</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 xml:space="preserve">1997.05-2000.03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浙江省石油化学工业公司副总经理、总会计师</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 xml:space="preserve">2000.04-2005.04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浙江新湖集团有限股份有限公司副总经理、财务负责人</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 xml:space="preserve">2005.05-2006.07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新湖中宝股份有限公司总经理</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 xml:space="preserve">2006.07-2011.06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浙江新湖集团股份有限公司常务副总经理、财务负责人</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 xml:space="preserve">2011.07至今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浙江新湖集团股份有限公司副董事长</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2017.05-2020.04</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新湖期货有限公司董事</w:t>
            </w:r>
          </w:p>
          <w:p>
            <w:pPr>
              <w:widowControl/>
              <w:rPr>
                <w:rFonts w:ascii="宋体" w:hAnsi="宋体" w:cs="宋体"/>
                <w:color w:val="000000"/>
                <w:kern w:val="0"/>
                <w:sz w:val="20"/>
                <w:szCs w:val="20"/>
              </w:rPr>
            </w:pPr>
            <w:r>
              <w:rPr>
                <w:rFonts w:hint="eastAsia" w:ascii="宋体" w:hAnsi="宋体" w:cs="宋体"/>
                <w:color w:val="000000"/>
                <w:kern w:val="0"/>
                <w:sz w:val="20"/>
                <w:szCs w:val="20"/>
              </w:rPr>
              <w:t>2020.04-至今     新湖期货股份有限公司董事</w:t>
            </w:r>
          </w:p>
        </w:tc>
      </w:tr>
      <w:tr>
        <w:tblPrEx>
          <w:tblCellMar>
            <w:top w:w="0" w:type="dxa"/>
            <w:left w:w="108" w:type="dxa"/>
            <w:bottom w:w="0" w:type="dxa"/>
            <w:right w:w="108" w:type="dxa"/>
          </w:tblCellMar>
        </w:tblPrEx>
        <w:trPr>
          <w:trHeight w:val="1131"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杨熙东</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董事</w:t>
            </w:r>
          </w:p>
          <w:p>
            <w:pPr>
              <w:widowControl/>
              <w:jc w:val="center"/>
              <w:rPr>
                <w:rFonts w:hint="eastAsia" w:ascii="宋体" w:hAnsi="宋体" w:cs="宋体"/>
                <w:kern w:val="0"/>
                <w:sz w:val="20"/>
                <w:szCs w:val="20"/>
                <w:lang w:val="en-US" w:eastAsia="zh-CN"/>
              </w:rPr>
            </w:pPr>
          </w:p>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总经理</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2020.04-至今 </w:t>
            </w:r>
          </w:p>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rPr>
              <w:t>2012.03-至今</w:t>
            </w:r>
          </w:p>
        </w:tc>
        <w:tc>
          <w:tcPr>
            <w:tcW w:w="6237" w:type="dxa"/>
            <w:tcBorders>
              <w:top w:val="nil"/>
              <w:left w:val="nil"/>
              <w:bottom w:val="single" w:color="auto" w:sz="4" w:space="0"/>
              <w:right w:val="single" w:color="auto" w:sz="4" w:space="0"/>
            </w:tcBorders>
            <w:vAlign w:val="center"/>
          </w:tcPr>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2001.07-2003.10</w:t>
            </w:r>
            <w:r>
              <w:rPr>
                <w:rFonts w:hint="eastAsia" w:ascii="宋体" w:hAnsi="宋体" w:cs="宋体"/>
                <w:kern w:val="0"/>
                <w:sz w:val="20"/>
                <w:szCs w:val="20"/>
                <w:lang w:val="en-US" w:eastAsia="zh-CN"/>
              </w:rPr>
              <w:t xml:space="preserve">  </w:t>
            </w:r>
            <w:r>
              <w:rPr>
                <w:rFonts w:hint="eastAsia" w:ascii="宋体" w:hAnsi="宋体" w:cs="宋体"/>
                <w:kern w:val="0"/>
                <w:sz w:val="20"/>
                <w:szCs w:val="20"/>
              </w:rPr>
              <w:t>中国国际期货经纪有限公司合规稽核部总经理</w:t>
            </w:r>
          </w:p>
          <w:p>
            <w:pPr>
              <w:widowControl/>
              <w:tabs>
                <w:tab w:val="left" w:pos="210"/>
              </w:tabs>
              <w:jc w:val="left"/>
              <w:rPr>
                <w:rFonts w:ascii="宋体" w:hAnsi="宋体" w:eastAsia="宋体" w:cs="宋体"/>
                <w:kern w:val="0"/>
                <w:sz w:val="18"/>
                <w:szCs w:val="18"/>
              </w:rPr>
            </w:pPr>
            <w:r>
              <w:rPr>
                <w:rFonts w:hint="eastAsia" w:ascii="宋体" w:hAnsi="宋体" w:cs="宋体"/>
                <w:kern w:val="0"/>
                <w:sz w:val="20"/>
                <w:szCs w:val="20"/>
              </w:rPr>
              <w:t xml:space="preserve">2003.11-2005.07 </w:t>
            </w:r>
            <w:r>
              <w:rPr>
                <w:rFonts w:hint="eastAsia" w:ascii="宋体" w:hAnsi="宋体" w:cs="宋体"/>
                <w:kern w:val="0"/>
                <w:sz w:val="20"/>
                <w:szCs w:val="20"/>
                <w:lang w:val="en-US" w:eastAsia="zh-CN"/>
              </w:rPr>
              <w:t xml:space="preserve"> </w:t>
            </w:r>
            <w:r>
              <w:rPr>
                <w:rFonts w:hint="eastAsia" w:ascii="宋体" w:hAnsi="宋体" w:cs="宋体"/>
                <w:kern w:val="0"/>
                <w:sz w:val="20"/>
                <w:szCs w:val="20"/>
              </w:rPr>
              <w:t>中国中期期货经纪有限公司法务部总经理</w:t>
            </w:r>
            <w:r>
              <w:rPr>
                <w:rFonts w:hint="eastAsia" w:ascii="宋体" w:hAnsi="宋体" w:cs="宋体"/>
                <w:kern w:val="0"/>
                <w:sz w:val="20"/>
                <w:szCs w:val="20"/>
              </w:rPr>
              <w:br w:type="textWrapping"/>
            </w:r>
            <w:r>
              <w:rPr>
                <w:rFonts w:hint="eastAsia" w:ascii="宋体" w:hAnsi="宋体" w:cs="宋体"/>
                <w:kern w:val="0"/>
                <w:sz w:val="20"/>
                <w:szCs w:val="20"/>
              </w:rPr>
              <w:t>2005.08-2008.06</w:t>
            </w:r>
            <w:r>
              <w:rPr>
                <w:rFonts w:hint="eastAsia" w:ascii="宋体" w:hAnsi="宋体" w:cs="宋体"/>
                <w:kern w:val="0"/>
                <w:sz w:val="20"/>
                <w:szCs w:val="20"/>
                <w:lang w:val="en-US" w:eastAsia="zh-CN"/>
              </w:rPr>
              <w:t xml:space="preserve">  </w:t>
            </w:r>
            <w:r>
              <w:rPr>
                <w:rFonts w:hint="eastAsia" w:ascii="宋体" w:hAnsi="宋体" w:cs="宋体"/>
                <w:kern w:val="0"/>
                <w:sz w:val="20"/>
                <w:szCs w:val="20"/>
              </w:rPr>
              <w:t>中国中期投资首席律师</w:t>
            </w:r>
            <w:r>
              <w:rPr>
                <w:rFonts w:hint="eastAsia" w:ascii="宋体" w:hAnsi="宋体" w:cs="宋体"/>
                <w:kern w:val="0"/>
                <w:sz w:val="20"/>
                <w:szCs w:val="20"/>
              </w:rPr>
              <w:br w:type="textWrapping"/>
            </w:r>
            <w:r>
              <w:rPr>
                <w:rFonts w:hint="eastAsia" w:ascii="宋体" w:hAnsi="宋体" w:cs="宋体"/>
                <w:kern w:val="0"/>
                <w:sz w:val="20"/>
                <w:szCs w:val="20"/>
              </w:rPr>
              <w:t>2008.07-2009.06</w:t>
            </w:r>
            <w:r>
              <w:rPr>
                <w:rFonts w:hint="eastAsia" w:ascii="宋体" w:hAnsi="宋体" w:cs="宋体"/>
                <w:kern w:val="0"/>
                <w:sz w:val="20"/>
                <w:szCs w:val="20"/>
                <w:lang w:val="en-US" w:eastAsia="zh-CN"/>
              </w:rPr>
              <w:t xml:space="preserve">  </w:t>
            </w:r>
            <w:r>
              <w:rPr>
                <w:rFonts w:hint="eastAsia" w:ascii="宋体" w:hAnsi="宋体" w:cs="宋体"/>
                <w:kern w:val="0"/>
                <w:sz w:val="20"/>
                <w:szCs w:val="20"/>
              </w:rPr>
              <w:t>中国国际期货合规总监  </w:t>
            </w:r>
            <w:r>
              <w:rPr>
                <w:rFonts w:hint="eastAsia" w:ascii="宋体" w:hAnsi="宋体" w:cs="宋体"/>
                <w:kern w:val="0"/>
                <w:sz w:val="20"/>
                <w:szCs w:val="20"/>
              </w:rPr>
              <w:br w:type="textWrapping"/>
            </w:r>
            <w:r>
              <w:rPr>
                <w:rFonts w:hint="eastAsia" w:ascii="宋体" w:hAnsi="宋体" w:cs="宋体"/>
                <w:kern w:val="0"/>
                <w:sz w:val="20"/>
                <w:szCs w:val="20"/>
              </w:rPr>
              <w:t>2009.07-2009.12</w:t>
            </w:r>
            <w:r>
              <w:rPr>
                <w:rFonts w:hint="eastAsia" w:ascii="宋体" w:hAnsi="宋体" w:cs="宋体"/>
                <w:kern w:val="0"/>
                <w:sz w:val="20"/>
                <w:szCs w:val="20"/>
                <w:lang w:val="en-US" w:eastAsia="zh-CN"/>
              </w:rPr>
              <w:t xml:space="preserve">  </w:t>
            </w:r>
            <w:r>
              <w:rPr>
                <w:rFonts w:hint="eastAsia" w:ascii="宋体" w:hAnsi="宋体" w:cs="宋体"/>
                <w:kern w:val="0"/>
                <w:sz w:val="20"/>
                <w:szCs w:val="20"/>
              </w:rPr>
              <w:t>新湖期货首席律师、合规总监</w:t>
            </w:r>
            <w:r>
              <w:rPr>
                <w:rFonts w:hint="eastAsia" w:ascii="宋体" w:hAnsi="宋体" w:cs="宋体"/>
                <w:kern w:val="0"/>
                <w:sz w:val="20"/>
                <w:szCs w:val="20"/>
              </w:rPr>
              <w:br w:type="textWrapping"/>
            </w:r>
            <w:r>
              <w:rPr>
                <w:rFonts w:hint="eastAsia" w:ascii="宋体" w:hAnsi="宋体" w:cs="宋体"/>
                <w:kern w:val="0"/>
                <w:sz w:val="20"/>
                <w:szCs w:val="20"/>
              </w:rPr>
              <w:t>2010.01-2012.03</w:t>
            </w:r>
            <w:r>
              <w:rPr>
                <w:rFonts w:hint="eastAsia" w:ascii="宋体" w:hAnsi="宋体" w:cs="宋体"/>
                <w:kern w:val="0"/>
                <w:sz w:val="20"/>
                <w:szCs w:val="20"/>
                <w:lang w:val="en-US" w:eastAsia="zh-CN"/>
              </w:rPr>
              <w:t xml:space="preserve">  </w:t>
            </w:r>
            <w:r>
              <w:rPr>
                <w:rFonts w:hint="eastAsia" w:ascii="宋体" w:hAnsi="宋体" w:cs="宋体"/>
                <w:kern w:val="0"/>
                <w:sz w:val="20"/>
                <w:szCs w:val="20"/>
              </w:rPr>
              <w:t>新湖期货副总经理、总法律顾问</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2012.03-2020.04</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新湖期货有限公司总经理</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2020.04-至今       新湖期货股份有限公司董事</w:t>
            </w:r>
          </w:p>
          <w:p>
            <w:pPr>
              <w:widowControl/>
              <w:jc w:val="left"/>
              <w:rPr>
                <w:rFonts w:hint="eastAsia" w:ascii="宋体" w:hAnsi="宋体" w:cs="宋体"/>
                <w:kern w:val="0"/>
                <w:sz w:val="20"/>
                <w:szCs w:val="20"/>
                <w:lang w:val="en-US" w:eastAsia="zh-CN"/>
              </w:rPr>
            </w:pPr>
            <w:r>
              <w:rPr>
                <w:rFonts w:hint="eastAsia" w:ascii="宋体" w:hAnsi="宋体" w:eastAsia="宋体" w:cs="宋体"/>
                <w:kern w:val="0"/>
                <w:sz w:val="18"/>
                <w:szCs w:val="18"/>
              </w:rPr>
              <w:t>2020.04-至今       新湖期货股份有限公司总经理</w:t>
            </w:r>
          </w:p>
        </w:tc>
      </w:tr>
      <w:tr>
        <w:tblPrEx>
          <w:tblCellMar>
            <w:top w:w="0" w:type="dxa"/>
            <w:left w:w="108" w:type="dxa"/>
            <w:bottom w:w="0" w:type="dxa"/>
            <w:right w:w="108" w:type="dxa"/>
          </w:tblCellMar>
        </w:tblPrEx>
        <w:trPr>
          <w:trHeight w:val="1131"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邹丽华</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监事会</w:t>
            </w:r>
          </w:p>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主席</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rPr>
              <w:t>2008.04-至今</w:t>
            </w:r>
          </w:p>
        </w:tc>
        <w:tc>
          <w:tcPr>
            <w:tcW w:w="623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1982.05-1987.03 </w:t>
            </w:r>
            <w:r>
              <w:rPr>
                <w:rFonts w:hint="eastAsia" w:ascii="宋体" w:hAnsi="宋体" w:cs="宋体"/>
                <w:kern w:val="0"/>
                <w:sz w:val="20"/>
                <w:szCs w:val="20"/>
                <w:lang w:val="en-US" w:eastAsia="zh-CN"/>
              </w:rPr>
              <w:t xml:space="preserve"> </w:t>
            </w:r>
            <w:r>
              <w:rPr>
                <w:rFonts w:hint="eastAsia" w:ascii="宋体" w:hAnsi="宋体" w:cs="宋体"/>
                <w:kern w:val="0"/>
                <w:sz w:val="20"/>
                <w:szCs w:val="20"/>
              </w:rPr>
              <w:t>瑞安团委、法院副书记、副院长</w:t>
            </w:r>
          </w:p>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 xml:space="preserve">1987.04-1993.03 </w:t>
            </w:r>
            <w:r>
              <w:rPr>
                <w:rFonts w:hint="eastAsia" w:ascii="宋体" w:hAnsi="宋体" w:cs="宋体"/>
                <w:kern w:val="0"/>
                <w:sz w:val="20"/>
                <w:szCs w:val="20"/>
                <w:lang w:val="en-US" w:eastAsia="zh-CN"/>
              </w:rPr>
              <w:t xml:space="preserve"> </w:t>
            </w:r>
            <w:r>
              <w:rPr>
                <w:rFonts w:hint="eastAsia" w:ascii="宋体" w:hAnsi="宋体" w:cs="宋体"/>
                <w:kern w:val="0"/>
                <w:sz w:val="20"/>
                <w:szCs w:val="20"/>
              </w:rPr>
              <w:t>温州市龙湾区委、法院、常委、政法书记、院长</w:t>
            </w:r>
          </w:p>
          <w:p>
            <w:pPr>
              <w:widowControl/>
              <w:jc w:val="left"/>
              <w:rPr>
                <w:rFonts w:ascii="宋体" w:hAnsi="宋体" w:cs="宋体"/>
                <w:kern w:val="0"/>
                <w:sz w:val="20"/>
                <w:szCs w:val="20"/>
              </w:rPr>
            </w:pPr>
            <w:r>
              <w:rPr>
                <w:rFonts w:hint="eastAsia" w:ascii="宋体" w:hAnsi="宋体" w:cs="宋体"/>
                <w:kern w:val="0"/>
                <w:sz w:val="20"/>
                <w:szCs w:val="20"/>
              </w:rPr>
              <w:t xml:space="preserve">1993.04-1996.01 </w:t>
            </w:r>
            <w:r>
              <w:rPr>
                <w:rFonts w:hint="eastAsia" w:ascii="宋体" w:hAnsi="宋体" w:cs="宋体"/>
                <w:kern w:val="0"/>
                <w:sz w:val="20"/>
                <w:szCs w:val="20"/>
                <w:lang w:val="en-US" w:eastAsia="zh-CN"/>
              </w:rPr>
              <w:t xml:space="preserve"> </w:t>
            </w:r>
            <w:r>
              <w:rPr>
                <w:rFonts w:hint="eastAsia" w:ascii="宋体" w:hAnsi="宋体" w:cs="宋体"/>
                <w:kern w:val="0"/>
                <w:sz w:val="20"/>
                <w:szCs w:val="20"/>
              </w:rPr>
              <w:t>温州市检察院副检察长</w:t>
            </w:r>
          </w:p>
          <w:p>
            <w:pPr>
              <w:widowControl/>
              <w:jc w:val="left"/>
              <w:rPr>
                <w:rFonts w:ascii="宋体" w:hAnsi="宋体" w:cs="宋体"/>
                <w:kern w:val="0"/>
                <w:sz w:val="20"/>
                <w:szCs w:val="20"/>
              </w:rPr>
            </w:pPr>
            <w:r>
              <w:rPr>
                <w:rFonts w:hint="eastAsia" w:ascii="宋体" w:hAnsi="宋体" w:cs="宋体"/>
                <w:kern w:val="0"/>
                <w:sz w:val="20"/>
                <w:szCs w:val="20"/>
              </w:rPr>
              <w:t xml:space="preserve">1996.02-2011.06 </w:t>
            </w:r>
            <w:r>
              <w:rPr>
                <w:rFonts w:hint="eastAsia" w:ascii="宋体" w:hAnsi="宋体" w:cs="宋体"/>
                <w:kern w:val="0"/>
                <w:sz w:val="20"/>
                <w:szCs w:val="20"/>
                <w:lang w:val="en-US" w:eastAsia="zh-CN"/>
              </w:rPr>
              <w:t xml:space="preserve"> </w:t>
            </w:r>
            <w:r>
              <w:rPr>
                <w:rFonts w:hint="eastAsia" w:ascii="宋体" w:hAnsi="宋体" w:cs="宋体"/>
                <w:kern w:val="0"/>
                <w:sz w:val="20"/>
                <w:szCs w:val="20"/>
              </w:rPr>
              <w:t>浙江新湖集团总经理、董事长</w:t>
            </w:r>
          </w:p>
          <w:p>
            <w:pPr>
              <w:widowControl/>
              <w:jc w:val="left"/>
              <w:rPr>
                <w:rFonts w:ascii="宋体" w:hAnsi="宋体" w:cs="宋体"/>
                <w:kern w:val="0"/>
                <w:sz w:val="20"/>
                <w:szCs w:val="20"/>
              </w:rPr>
            </w:pPr>
            <w:r>
              <w:rPr>
                <w:rFonts w:hint="eastAsia" w:ascii="宋体" w:hAnsi="宋体" w:cs="宋体"/>
                <w:kern w:val="0"/>
                <w:sz w:val="20"/>
                <w:szCs w:val="20"/>
              </w:rPr>
              <w:t>2006.11-2009.11</w:t>
            </w:r>
            <w:r>
              <w:rPr>
                <w:rFonts w:hint="eastAsia" w:ascii="宋体" w:hAnsi="宋体" w:cs="宋体"/>
                <w:kern w:val="0"/>
                <w:sz w:val="20"/>
                <w:szCs w:val="20"/>
                <w:lang w:val="en-US" w:eastAsia="zh-CN"/>
              </w:rPr>
              <w:t xml:space="preserve">  </w:t>
            </w:r>
            <w:r>
              <w:rPr>
                <w:rFonts w:hint="eastAsia" w:ascii="宋体" w:hAnsi="宋体" w:cs="宋体"/>
                <w:kern w:val="0"/>
                <w:sz w:val="20"/>
                <w:szCs w:val="20"/>
              </w:rPr>
              <w:t>新湖中宝董事长</w:t>
            </w:r>
          </w:p>
          <w:p>
            <w:pPr>
              <w:widowControl/>
              <w:jc w:val="left"/>
              <w:rPr>
                <w:rFonts w:ascii="宋体" w:hAnsi="宋体" w:cs="宋体"/>
                <w:kern w:val="0"/>
                <w:sz w:val="20"/>
                <w:szCs w:val="20"/>
              </w:rPr>
            </w:pPr>
            <w:r>
              <w:rPr>
                <w:rFonts w:hint="eastAsia" w:ascii="宋体" w:hAnsi="宋体" w:cs="宋体"/>
                <w:kern w:val="0"/>
                <w:sz w:val="20"/>
                <w:szCs w:val="20"/>
              </w:rPr>
              <w:t xml:space="preserve">2011.07-至今    </w:t>
            </w:r>
            <w:r>
              <w:rPr>
                <w:rFonts w:hint="eastAsia" w:ascii="宋体" w:hAnsi="宋体" w:cs="宋体"/>
                <w:kern w:val="0"/>
                <w:sz w:val="20"/>
                <w:szCs w:val="20"/>
                <w:lang w:val="en-US" w:eastAsia="zh-CN"/>
              </w:rPr>
              <w:t xml:space="preserve"> </w:t>
            </w:r>
            <w:r>
              <w:rPr>
                <w:rFonts w:hint="eastAsia" w:ascii="宋体" w:hAnsi="宋体" w:cs="宋体"/>
                <w:kern w:val="0"/>
                <w:sz w:val="20"/>
                <w:szCs w:val="20"/>
              </w:rPr>
              <w:t>浙江新湖集团监事会主席</w:t>
            </w:r>
          </w:p>
          <w:p>
            <w:pPr>
              <w:widowControl/>
              <w:tabs>
                <w:tab w:val="left" w:pos="210"/>
                <w:tab w:val="left" w:pos="1721"/>
              </w:tabs>
              <w:jc w:val="left"/>
              <w:rPr>
                <w:rFonts w:ascii="宋体" w:hAnsi="宋体" w:eastAsia="宋体" w:cs="宋体"/>
                <w:kern w:val="0"/>
                <w:sz w:val="18"/>
                <w:szCs w:val="18"/>
              </w:rPr>
            </w:pPr>
            <w:r>
              <w:rPr>
                <w:rFonts w:hint="eastAsia" w:ascii="宋体" w:hAnsi="宋体" w:cs="宋体"/>
                <w:kern w:val="0"/>
                <w:sz w:val="20"/>
                <w:szCs w:val="20"/>
              </w:rPr>
              <w:t>1995.05-2008.03</w:t>
            </w:r>
            <w:r>
              <w:rPr>
                <w:rFonts w:hint="eastAsia" w:ascii="宋体" w:hAnsi="宋体" w:cs="宋体"/>
                <w:kern w:val="0"/>
                <w:sz w:val="20"/>
                <w:szCs w:val="20"/>
                <w:lang w:val="en-US" w:eastAsia="zh-CN"/>
              </w:rPr>
              <w:t xml:space="preserve">  </w:t>
            </w:r>
            <w:r>
              <w:rPr>
                <w:rFonts w:hint="eastAsia" w:ascii="宋体" w:hAnsi="宋体" w:cs="宋体"/>
                <w:kern w:val="0"/>
                <w:sz w:val="20"/>
                <w:szCs w:val="20"/>
              </w:rPr>
              <w:t>浙江天地期货董事</w:t>
            </w:r>
            <w:r>
              <w:rPr>
                <w:rFonts w:hint="eastAsia" w:ascii="宋体" w:hAnsi="宋体" w:cs="宋体"/>
                <w:kern w:val="0"/>
                <w:sz w:val="20"/>
                <w:szCs w:val="20"/>
              </w:rPr>
              <w:br w:type="textWrapping"/>
            </w:r>
            <w:r>
              <w:rPr>
                <w:rFonts w:hint="eastAsia" w:ascii="宋体" w:hAnsi="宋体" w:eastAsia="宋体" w:cs="宋体"/>
                <w:kern w:val="0"/>
                <w:sz w:val="18"/>
                <w:szCs w:val="18"/>
              </w:rPr>
              <w:t>2008.09-2020.04  新湖期货有限公司监事会主席</w:t>
            </w:r>
          </w:p>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18"/>
                <w:szCs w:val="18"/>
              </w:rPr>
              <w:t>2020.04-至今       新湖期货股份有限公司监事会主席</w:t>
            </w:r>
          </w:p>
        </w:tc>
      </w:tr>
      <w:tr>
        <w:tblPrEx>
          <w:tblCellMar>
            <w:top w:w="0" w:type="dxa"/>
            <w:left w:w="108" w:type="dxa"/>
            <w:bottom w:w="0" w:type="dxa"/>
            <w:right w:w="108" w:type="dxa"/>
          </w:tblCellMar>
        </w:tblPrEx>
        <w:trPr>
          <w:trHeight w:val="1266"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卢卫卫</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监事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w:t>
            </w:r>
            <w:r>
              <w:rPr>
                <w:rFonts w:hint="eastAsia" w:ascii="宋体" w:hAnsi="宋体" w:cs="宋体"/>
                <w:kern w:val="0"/>
                <w:sz w:val="20"/>
                <w:szCs w:val="20"/>
                <w:lang w:val="en-US" w:eastAsia="zh-CN"/>
              </w:rPr>
              <w:t>20</w:t>
            </w:r>
            <w:r>
              <w:rPr>
                <w:rFonts w:hint="eastAsia" w:ascii="宋体" w:hAnsi="宋体" w:cs="宋体"/>
                <w:kern w:val="0"/>
                <w:sz w:val="20"/>
                <w:szCs w:val="20"/>
              </w:rPr>
              <w:t>.0</w:t>
            </w:r>
            <w:r>
              <w:rPr>
                <w:rFonts w:hint="eastAsia" w:ascii="宋体" w:hAnsi="宋体" w:cs="宋体"/>
                <w:kern w:val="0"/>
                <w:sz w:val="20"/>
                <w:szCs w:val="20"/>
                <w:lang w:val="en-US" w:eastAsia="zh-CN"/>
              </w:rPr>
              <w:t>4</w:t>
            </w:r>
            <w:r>
              <w:rPr>
                <w:rFonts w:hint="eastAsia" w:ascii="宋体" w:hAnsi="宋体" w:cs="宋体"/>
                <w:kern w:val="0"/>
                <w:sz w:val="20"/>
                <w:szCs w:val="20"/>
              </w:rPr>
              <w:t>-至今</w:t>
            </w:r>
          </w:p>
        </w:tc>
        <w:tc>
          <w:tcPr>
            <w:tcW w:w="6237" w:type="dxa"/>
            <w:tcBorders>
              <w:top w:val="nil"/>
              <w:left w:val="nil"/>
              <w:bottom w:val="single" w:color="auto" w:sz="4" w:space="0"/>
              <w:right w:val="single" w:color="auto" w:sz="4" w:space="0"/>
            </w:tcBorders>
            <w:vAlign w:val="center"/>
          </w:tcPr>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 xml:space="preserve">1993.07-1994.06 </w:t>
            </w:r>
            <w:r>
              <w:rPr>
                <w:rFonts w:hint="eastAsia" w:ascii="宋体" w:hAnsi="宋体" w:cs="宋体"/>
                <w:kern w:val="0"/>
                <w:sz w:val="20"/>
                <w:szCs w:val="20"/>
                <w:lang w:val="en-US" w:eastAsia="zh-CN"/>
              </w:rPr>
              <w:t xml:space="preserve"> </w:t>
            </w:r>
            <w:r>
              <w:rPr>
                <w:rFonts w:hint="eastAsia" w:ascii="宋体" w:hAnsi="宋体" w:cs="宋体"/>
                <w:kern w:val="0"/>
                <w:sz w:val="20"/>
                <w:szCs w:val="20"/>
              </w:rPr>
              <w:t>杭州凯地丝绸股份有限公司财务部计算机室负责人</w:t>
            </w:r>
          </w:p>
          <w:p>
            <w:pPr>
              <w:widowControl/>
              <w:jc w:val="left"/>
              <w:rPr>
                <w:rFonts w:ascii="宋体" w:hAnsi="宋体" w:cs="宋体"/>
                <w:kern w:val="0"/>
                <w:sz w:val="20"/>
                <w:szCs w:val="20"/>
              </w:rPr>
            </w:pPr>
            <w:r>
              <w:rPr>
                <w:rFonts w:hint="eastAsia" w:ascii="宋体" w:hAnsi="宋体" w:cs="宋体"/>
                <w:kern w:val="0"/>
                <w:sz w:val="20"/>
                <w:szCs w:val="20"/>
              </w:rPr>
              <w:t xml:space="preserve">1994.07-1995.09 </w:t>
            </w:r>
            <w:r>
              <w:rPr>
                <w:rFonts w:hint="eastAsia" w:ascii="宋体" w:hAnsi="宋体" w:cs="宋体"/>
                <w:kern w:val="0"/>
                <w:sz w:val="20"/>
                <w:szCs w:val="20"/>
                <w:lang w:val="en-US" w:eastAsia="zh-CN"/>
              </w:rPr>
              <w:t xml:space="preserve"> </w:t>
            </w:r>
            <w:r>
              <w:rPr>
                <w:rFonts w:hint="eastAsia" w:ascii="宋体" w:hAnsi="宋体" w:cs="宋体"/>
                <w:kern w:val="0"/>
                <w:sz w:val="20"/>
                <w:szCs w:val="20"/>
              </w:rPr>
              <w:t>杭州凯地丝绸股份有限公司核算科长</w:t>
            </w:r>
          </w:p>
          <w:p>
            <w:pPr>
              <w:widowControl/>
              <w:ind w:left="1500" w:hanging="1500" w:hangingChars="750"/>
              <w:jc w:val="left"/>
              <w:rPr>
                <w:rFonts w:ascii="宋体" w:hAnsi="宋体" w:cs="宋体"/>
                <w:kern w:val="0"/>
                <w:sz w:val="20"/>
                <w:szCs w:val="20"/>
              </w:rPr>
            </w:pPr>
            <w:r>
              <w:rPr>
                <w:rFonts w:hint="eastAsia" w:ascii="宋体" w:hAnsi="宋体" w:cs="宋体"/>
                <w:kern w:val="0"/>
                <w:sz w:val="20"/>
                <w:szCs w:val="20"/>
              </w:rPr>
              <w:t xml:space="preserve">1995.10-1999.08 </w:t>
            </w:r>
            <w:r>
              <w:rPr>
                <w:rFonts w:hint="eastAsia" w:ascii="宋体" w:hAnsi="宋体" w:cs="宋体"/>
                <w:kern w:val="0"/>
                <w:sz w:val="20"/>
                <w:szCs w:val="20"/>
                <w:lang w:val="en-US" w:eastAsia="zh-CN"/>
              </w:rPr>
              <w:t xml:space="preserve"> </w:t>
            </w:r>
            <w:r>
              <w:rPr>
                <w:rFonts w:hint="eastAsia" w:ascii="宋体" w:hAnsi="宋体" w:cs="宋体"/>
                <w:kern w:val="0"/>
                <w:sz w:val="20"/>
                <w:szCs w:val="20"/>
              </w:rPr>
              <w:t>杭州凯地丝绸股份有限公司财务副经理</w:t>
            </w:r>
          </w:p>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 xml:space="preserve">1999.08-2005.04 </w:t>
            </w:r>
            <w:r>
              <w:rPr>
                <w:rFonts w:hint="eastAsia" w:ascii="宋体" w:hAnsi="宋体" w:cs="宋体"/>
                <w:kern w:val="0"/>
                <w:sz w:val="20"/>
                <w:szCs w:val="20"/>
                <w:lang w:val="en-US" w:eastAsia="zh-CN"/>
              </w:rPr>
              <w:t xml:space="preserve"> </w:t>
            </w:r>
            <w:r>
              <w:rPr>
                <w:rFonts w:hint="eastAsia" w:ascii="宋体" w:hAnsi="宋体" w:cs="宋体"/>
                <w:kern w:val="0"/>
                <w:sz w:val="20"/>
                <w:szCs w:val="20"/>
              </w:rPr>
              <w:t>浙江大学科慧软件有限公司财务软件开发</w:t>
            </w:r>
          </w:p>
          <w:p>
            <w:pPr>
              <w:widowControl/>
              <w:jc w:val="left"/>
              <w:rPr>
                <w:rFonts w:ascii="宋体" w:hAnsi="宋体" w:cs="宋体"/>
                <w:kern w:val="0"/>
                <w:sz w:val="20"/>
                <w:szCs w:val="20"/>
              </w:rPr>
            </w:pPr>
            <w:r>
              <w:rPr>
                <w:rFonts w:hint="eastAsia" w:ascii="宋体" w:hAnsi="宋体" w:cs="宋体"/>
                <w:kern w:val="0"/>
                <w:sz w:val="20"/>
                <w:szCs w:val="20"/>
              </w:rPr>
              <w:t xml:space="preserve">2005.05-2007.02 </w:t>
            </w:r>
            <w:r>
              <w:rPr>
                <w:rFonts w:hint="eastAsia" w:ascii="宋体" w:hAnsi="宋体" w:cs="宋体"/>
                <w:kern w:val="0"/>
                <w:sz w:val="20"/>
                <w:szCs w:val="20"/>
                <w:lang w:val="en-US" w:eastAsia="zh-CN"/>
              </w:rPr>
              <w:t xml:space="preserve"> </w:t>
            </w:r>
            <w:r>
              <w:rPr>
                <w:rFonts w:hint="eastAsia" w:ascii="宋体" w:hAnsi="宋体" w:cs="宋体"/>
                <w:kern w:val="0"/>
                <w:sz w:val="20"/>
                <w:szCs w:val="20"/>
              </w:rPr>
              <w:t>新湖控股有限公司财务经理</w:t>
            </w:r>
          </w:p>
          <w:p>
            <w:pPr>
              <w:widowControl/>
              <w:jc w:val="left"/>
              <w:rPr>
                <w:rFonts w:ascii="宋体" w:hAnsi="宋体" w:cs="宋体"/>
                <w:kern w:val="0"/>
                <w:sz w:val="20"/>
                <w:szCs w:val="20"/>
              </w:rPr>
            </w:pPr>
            <w:r>
              <w:rPr>
                <w:rFonts w:hint="eastAsia" w:ascii="宋体" w:hAnsi="宋体" w:cs="宋体"/>
                <w:kern w:val="0"/>
                <w:sz w:val="20"/>
                <w:szCs w:val="20"/>
              </w:rPr>
              <w:t xml:space="preserve">2007.03-2015.10 </w:t>
            </w:r>
            <w:r>
              <w:rPr>
                <w:rFonts w:hint="eastAsia" w:ascii="宋体" w:hAnsi="宋体" w:cs="宋体"/>
                <w:kern w:val="0"/>
                <w:sz w:val="20"/>
                <w:szCs w:val="20"/>
                <w:lang w:val="en-US" w:eastAsia="zh-CN"/>
              </w:rPr>
              <w:t xml:space="preserve"> </w:t>
            </w:r>
            <w:r>
              <w:rPr>
                <w:rFonts w:hint="eastAsia" w:ascii="宋体" w:hAnsi="宋体" w:cs="宋体"/>
                <w:kern w:val="0"/>
                <w:sz w:val="20"/>
                <w:szCs w:val="20"/>
              </w:rPr>
              <w:t>新湖中宝投资部总经理兼财务副总经理</w:t>
            </w:r>
          </w:p>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 xml:space="preserve">2015.10-至今    </w:t>
            </w:r>
            <w:r>
              <w:rPr>
                <w:rFonts w:hint="eastAsia" w:ascii="宋体" w:hAnsi="宋体" w:cs="宋体"/>
                <w:kern w:val="0"/>
                <w:sz w:val="20"/>
                <w:szCs w:val="20"/>
                <w:lang w:val="en-US" w:eastAsia="zh-CN"/>
              </w:rPr>
              <w:t xml:space="preserve"> </w:t>
            </w:r>
            <w:r>
              <w:rPr>
                <w:rFonts w:hint="eastAsia" w:ascii="宋体" w:hAnsi="宋体" w:cs="宋体"/>
                <w:kern w:val="0"/>
                <w:sz w:val="20"/>
                <w:szCs w:val="20"/>
              </w:rPr>
              <w:t>哈尔滨高科技（集团）股份有限公司财务负责人</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2008.06-2014.03   新湖期货有限公司监事</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2014.03-2020.04   新湖期货有限公司董事</w:t>
            </w:r>
          </w:p>
          <w:p>
            <w:pPr>
              <w:widowControl/>
              <w:jc w:val="left"/>
              <w:rPr>
                <w:rFonts w:ascii="宋体" w:hAnsi="宋体" w:cs="宋体"/>
                <w:kern w:val="0"/>
                <w:sz w:val="20"/>
                <w:szCs w:val="20"/>
              </w:rPr>
            </w:pPr>
            <w:r>
              <w:rPr>
                <w:rFonts w:hint="eastAsia" w:ascii="宋体" w:hAnsi="宋体" w:eastAsia="宋体" w:cs="宋体"/>
                <w:kern w:val="0"/>
                <w:sz w:val="18"/>
                <w:szCs w:val="18"/>
              </w:rPr>
              <w:t>2020.04-至今       新湖期货股份有限公司监事</w:t>
            </w:r>
          </w:p>
        </w:tc>
      </w:tr>
      <w:tr>
        <w:tblPrEx>
          <w:tblCellMar>
            <w:top w:w="0" w:type="dxa"/>
            <w:left w:w="108" w:type="dxa"/>
            <w:bottom w:w="0" w:type="dxa"/>
            <w:right w:w="108" w:type="dxa"/>
          </w:tblCellMar>
        </w:tblPrEx>
        <w:trPr>
          <w:trHeight w:val="1608"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ascii="宋体" w:hAnsi="宋体" w:eastAsia="宋体" w:cs="宋体"/>
                <w:kern w:val="0"/>
                <w:sz w:val="18"/>
                <w:szCs w:val="18"/>
              </w:rPr>
              <w:t>吴红赭</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eastAsia="宋体" w:cs="宋体"/>
                <w:kern w:val="0"/>
                <w:sz w:val="18"/>
                <w:szCs w:val="18"/>
              </w:rPr>
              <w:t>监事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18"/>
                <w:szCs w:val="18"/>
              </w:rPr>
              <w:t>2020.08</w:t>
            </w:r>
            <w:r>
              <w:rPr>
                <w:rFonts w:hint="eastAsia" w:ascii="宋体" w:hAnsi="宋体" w:cs="宋体"/>
                <w:kern w:val="0"/>
                <w:sz w:val="18"/>
                <w:szCs w:val="18"/>
                <w:lang w:eastAsia="zh-CN"/>
              </w:rPr>
              <w:t>—</w:t>
            </w:r>
            <w:r>
              <w:rPr>
                <w:rFonts w:hint="eastAsia" w:ascii="宋体" w:hAnsi="宋体" w:cs="宋体"/>
                <w:kern w:val="0"/>
                <w:sz w:val="18"/>
                <w:szCs w:val="18"/>
                <w:lang w:val="en-US" w:eastAsia="zh-CN"/>
              </w:rPr>
              <w:t>至今</w:t>
            </w:r>
          </w:p>
        </w:tc>
        <w:tc>
          <w:tcPr>
            <w:tcW w:w="6237" w:type="dxa"/>
            <w:tcBorders>
              <w:top w:val="nil"/>
              <w:left w:val="nil"/>
              <w:bottom w:val="single" w:color="auto" w:sz="4" w:space="0"/>
              <w:right w:val="single" w:color="auto" w:sz="4" w:space="0"/>
            </w:tcBorders>
            <w:vAlign w:val="center"/>
          </w:tcPr>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2014.03-2016.03   大连良运期货经纪有限公司系统运维</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2016.03-2018.03    新湖期货有限公司系统运维</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2018.03-2018.12   新湖期货有限公司审计专员</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2018.12-2019.05    新湖期货有限公司期权部专员</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2019.05-2019.05  新湖期货有限公司客服</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2019.05-2020.04    新湖期货有限公司客服主管</w:t>
            </w:r>
          </w:p>
          <w:p>
            <w:pPr>
              <w:widowControl/>
              <w:tabs>
                <w:tab w:val="left" w:pos="210"/>
              </w:tabs>
              <w:jc w:val="left"/>
              <w:rPr>
                <w:rFonts w:hint="eastAsia" w:ascii="宋体" w:hAnsi="宋体" w:eastAsia="宋体" w:cs="宋体"/>
                <w:kern w:val="0"/>
                <w:sz w:val="18"/>
                <w:szCs w:val="18"/>
              </w:rPr>
            </w:pPr>
            <w:r>
              <w:rPr>
                <w:rFonts w:hint="eastAsia" w:ascii="宋体" w:hAnsi="宋体" w:eastAsia="宋体" w:cs="宋体"/>
                <w:kern w:val="0"/>
                <w:sz w:val="18"/>
                <w:szCs w:val="18"/>
              </w:rPr>
              <w:t>2020.04-2020.06    新湖期货股份有限公司客服主管</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2020.06-至今       新湖期货股份有限公司运营服务中心总监助理</w:t>
            </w:r>
          </w:p>
          <w:p>
            <w:pPr>
              <w:widowControl/>
              <w:rPr>
                <w:rFonts w:ascii="宋体" w:hAnsi="宋体" w:cs="宋体"/>
                <w:color w:val="000000"/>
                <w:kern w:val="0"/>
                <w:sz w:val="20"/>
                <w:szCs w:val="20"/>
              </w:rPr>
            </w:pPr>
            <w:r>
              <w:rPr>
                <w:rFonts w:hint="eastAsia" w:ascii="宋体" w:hAnsi="宋体" w:eastAsia="宋体" w:cs="宋体"/>
                <w:kern w:val="0"/>
                <w:sz w:val="18"/>
                <w:szCs w:val="18"/>
              </w:rPr>
              <w:t>2020.08-至今       新湖期货股份有限公司监事</w:t>
            </w:r>
          </w:p>
        </w:tc>
      </w:tr>
      <w:tr>
        <w:tblPrEx>
          <w:tblCellMar>
            <w:top w:w="0" w:type="dxa"/>
            <w:left w:w="108" w:type="dxa"/>
            <w:bottom w:w="0" w:type="dxa"/>
            <w:right w:w="108" w:type="dxa"/>
          </w:tblCellMar>
        </w:tblPrEx>
        <w:trPr>
          <w:trHeight w:val="2260"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eastAsia="宋体" w:cs="宋体"/>
                <w:kern w:val="0"/>
                <w:sz w:val="18"/>
                <w:szCs w:val="18"/>
              </w:rPr>
              <w:t>黄雪莲</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首席</w:t>
            </w:r>
          </w:p>
          <w:p>
            <w:pPr>
              <w:widowControl/>
              <w:jc w:val="center"/>
              <w:rPr>
                <w:rFonts w:ascii="宋体" w:hAnsi="宋体" w:cs="宋体"/>
                <w:kern w:val="0"/>
                <w:sz w:val="20"/>
                <w:szCs w:val="20"/>
              </w:rPr>
            </w:pPr>
            <w:r>
              <w:rPr>
                <w:rFonts w:hint="eastAsia" w:ascii="宋体" w:hAnsi="宋体" w:cs="宋体"/>
                <w:kern w:val="0"/>
                <w:sz w:val="20"/>
                <w:szCs w:val="20"/>
              </w:rPr>
              <w:t>风险官</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2009.03-至今</w:t>
            </w:r>
          </w:p>
        </w:tc>
        <w:tc>
          <w:tcPr>
            <w:tcW w:w="6237" w:type="dxa"/>
            <w:tcBorders>
              <w:top w:val="nil"/>
              <w:left w:val="nil"/>
              <w:bottom w:val="single" w:color="auto" w:sz="4" w:space="0"/>
              <w:right w:val="single" w:color="auto" w:sz="4" w:space="0"/>
            </w:tcBorders>
            <w:vAlign w:val="center"/>
          </w:tcPr>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2016.12-2017.04   新湖期货有限公司辅助岗</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2017.04-2018.01   新湖期货有限公司审计主管</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2018.01-2020.04    新湖期货有限公司合规稽核部副经理</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2020.04-2020.08    新湖期货股份有限公司合规稽核部副经理</w:t>
            </w:r>
          </w:p>
          <w:p>
            <w:pPr>
              <w:widowControl/>
              <w:jc w:val="left"/>
              <w:rPr>
                <w:rFonts w:ascii="宋体" w:hAnsi="宋体" w:cs="宋体"/>
                <w:kern w:val="0"/>
                <w:sz w:val="20"/>
                <w:szCs w:val="20"/>
              </w:rPr>
            </w:pPr>
            <w:r>
              <w:rPr>
                <w:rFonts w:hint="eastAsia" w:ascii="宋体" w:hAnsi="宋体" w:eastAsia="宋体" w:cs="宋体"/>
                <w:kern w:val="0"/>
                <w:sz w:val="18"/>
                <w:szCs w:val="18"/>
              </w:rPr>
              <w:t>2020.08-至今       新湖期货股份有限公司首席风险官</w:t>
            </w:r>
          </w:p>
        </w:tc>
      </w:tr>
      <w:tr>
        <w:tblPrEx>
          <w:tblCellMar>
            <w:top w:w="0" w:type="dxa"/>
            <w:left w:w="108" w:type="dxa"/>
            <w:bottom w:w="0" w:type="dxa"/>
            <w:right w:w="108" w:type="dxa"/>
          </w:tblCellMar>
        </w:tblPrEx>
        <w:trPr>
          <w:trHeight w:val="1125"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黄仟庭</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副总经理</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2008.08-至今</w:t>
            </w:r>
          </w:p>
        </w:tc>
        <w:tc>
          <w:tcPr>
            <w:tcW w:w="6237" w:type="dxa"/>
            <w:tcBorders>
              <w:top w:val="nil"/>
              <w:left w:val="nil"/>
              <w:bottom w:val="single" w:color="auto" w:sz="4" w:space="0"/>
              <w:right w:val="single" w:color="auto" w:sz="4" w:space="0"/>
            </w:tcBorders>
            <w:vAlign w:val="center"/>
          </w:tcPr>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1993.03-2005.02   中国国际期货经纪有限公司员工、交易部经理</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2005.03-2008.04   北京中期期货经纪有限公司交易部经理</w:t>
            </w:r>
          </w:p>
          <w:p>
            <w:pPr>
              <w:widowControl/>
              <w:tabs>
                <w:tab w:val="left" w:pos="210"/>
              </w:tabs>
              <w:jc w:val="left"/>
              <w:rPr>
                <w:rFonts w:ascii="宋体" w:hAnsi="宋体" w:eastAsia="宋体" w:cs="宋体"/>
                <w:kern w:val="0"/>
                <w:sz w:val="18"/>
                <w:szCs w:val="18"/>
              </w:rPr>
            </w:pPr>
            <w:r>
              <w:rPr>
                <w:rFonts w:hint="eastAsia" w:ascii="宋体" w:hAnsi="宋体" w:eastAsia="宋体" w:cs="宋体"/>
                <w:kern w:val="0"/>
                <w:sz w:val="18"/>
                <w:szCs w:val="18"/>
              </w:rPr>
              <w:t>2008.05-2008.08   新湖期货有限公司拟任副总经理</w:t>
            </w:r>
          </w:p>
          <w:p>
            <w:pPr>
              <w:widowControl/>
              <w:tabs>
                <w:tab w:val="left" w:pos="210"/>
                <w:tab w:val="left" w:pos="1691"/>
              </w:tabs>
              <w:jc w:val="left"/>
              <w:rPr>
                <w:rFonts w:ascii="宋体" w:hAnsi="宋体" w:eastAsia="宋体" w:cs="宋体"/>
                <w:kern w:val="0"/>
                <w:sz w:val="18"/>
                <w:szCs w:val="18"/>
              </w:rPr>
            </w:pPr>
            <w:r>
              <w:rPr>
                <w:rFonts w:hint="eastAsia" w:ascii="宋体" w:hAnsi="宋体" w:eastAsia="宋体" w:cs="宋体"/>
                <w:kern w:val="0"/>
                <w:sz w:val="18"/>
                <w:szCs w:val="18"/>
              </w:rPr>
              <w:t>2008.08-2020.04  新湖期货有限公司副总经理</w:t>
            </w:r>
          </w:p>
          <w:p>
            <w:pPr>
              <w:widowControl/>
              <w:jc w:val="left"/>
              <w:rPr>
                <w:rFonts w:ascii="宋体" w:hAnsi="宋体" w:cs="宋体"/>
                <w:kern w:val="0"/>
                <w:sz w:val="20"/>
                <w:szCs w:val="20"/>
              </w:rPr>
            </w:pPr>
            <w:r>
              <w:rPr>
                <w:rFonts w:hint="eastAsia" w:ascii="宋体" w:hAnsi="宋体" w:eastAsia="宋体" w:cs="宋体"/>
                <w:kern w:val="0"/>
                <w:sz w:val="18"/>
                <w:szCs w:val="18"/>
              </w:rPr>
              <w:t>2020.04-至今       新湖期货股份有限公司副总经理</w:t>
            </w:r>
          </w:p>
        </w:tc>
      </w:tr>
      <w:tr>
        <w:tblPrEx>
          <w:tblCellMar>
            <w:top w:w="0" w:type="dxa"/>
            <w:left w:w="108" w:type="dxa"/>
            <w:bottom w:w="0" w:type="dxa"/>
            <w:right w:w="108" w:type="dxa"/>
          </w:tblCellMar>
        </w:tblPrEx>
        <w:trPr>
          <w:trHeight w:val="558" w:hRule="atLeast"/>
        </w:trPr>
        <w:tc>
          <w:tcPr>
            <w:tcW w:w="9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金玉卫</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副总经理</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2016.04-至今</w:t>
            </w:r>
          </w:p>
        </w:tc>
        <w:tc>
          <w:tcPr>
            <w:tcW w:w="6237" w:type="dxa"/>
            <w:tcBorders>
              <w:top w:val="single" w:color="auto" w:sz="4" w:space="0"/>
              <w:left w:val="single" w:color="auto" w:sz="4" w:space="0"/>
              <w:bottom w:val="single" w:color="auto" w:sz="4" w:space="0"/>
              <w:right w:val="single" w:color="auto" w:sz="4" w:space="0"/>
            </w:tcBorders>
            <w:vAlign w:val="center"/>
          </w:tcPr>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1993.04-1994.12    海口万汇期货经纪有限公司市场经理</w:t>
            </w:r>
          </w:p>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1995.01-1998.12    海南海信期货经纪有限公司结算部经理</w:t>
            </w:r>
          </w:p>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1999.01-2003.01    海南金海岸期货经纪有限公司客服部经理</w:t>
            </w:r>
          </w:p>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2003.02-2004.03    海南光大期货经纪有限公司市场部经理</w:t>
            </w:r>
          </w:p>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2004.03-2008.07    道通期货经纪有限公司海口营业部副经理</w:t>
            </w:r>
          </w:p>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2008.09-2009.05    新湖期货有限公司拟任营业部负责人</w:t>
            </w:r>
          </w:p>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2009.05-2013.02    新湖期货有限公司海口营业部负责人</w:t>
            </w:r>
          </w:p>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2013.03-2014.04    新湖期货有限公司深圳营业部负责人</w:t>
            </w:r>
          </w:p>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2014.04-2015.08    新湖期货有限公司总经理助理兼分支机构管理部经理</w:t>
            </w:r>
          </w:p>
          <w:p>
            <w:pPr>
              <w:widowControl/>
              <w:tabs>
                <w:tab w:val="left" w:pos="210"/>
              </w:tabs>
              <w:ind w:left="1800" w:hanging="1800" w:hangingChars="1000"/>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2015.08-2016.03    新湖期货有限公司总经理助理兼经纪业务管理中心总监</w:t>
            </w:r>
          </w:p>
          <w:p>
            <w:pPr>
              <w:widowControl/>
              <w:tabs>
                <w:tab w:val="left" w:pos="210"/>
              </w:tabs>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2016.04-2020.04    新湖期货有限公司副总经理</w:t>
            </w:r>
          </w:p>
          <w:p>
            <w:pPr>
              <w:widowControl/>
              <w:jc w:val="left"/>
              <w:rPr>
                <w:rFonts w:ascii="宋体" w:hAnsi="宋体" w:cs="宋体"/>
                <w:kern w:val="0"/>
                <w:sz w:val="20"/>
                <w:szCs w:val="20"/>
              </w:rPr>
            </w:pPr>
            <w:r>
              <w:rPr>
                <w:rFonts w:hint="eastAsia" w:ascii="宋体" w:hAnsi="宋体" w:eastAsia="宋体" w:cs="宋体"/>
                <w:kern w:val="0"/>
                <w:sz w:val="18"/>
                <w:szCs w:val="18"/>
              </w:rPr>
              <w:t>2020.04-至今       新湖期货股份有限公司副总经理</w:t>
            </w:r>
          </w:p>
        </w:tc>
      </w:tr>
      <w:tr>
        <w:tblPrEx>
          <w:tblCellMar>
            <w:top w:w="0" w:type="dxa"/>
            <w:left w:w="108" w:type="dxa"/>
            <w:bottom w:w="0" w:type="dxa"/>
            <w:right w:w="108" w:type="dxa"/>
          </w:tblCellMar>
        </w:tblPrEx>
        <w:trPr>
          <w:trHeight w:val="558" w:hRule="atLeast"/>
        </w:trPr>
        <w:tc>
          <w:tcPr>
            <w:tcW w:w="9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李强</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董事会</w:t>
            </w:r>
          </w:p>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秘书</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2020.07</w:t>
            </w:r>
          </w:p>
          <w:p>
            <w:pPr>
              <w:widowControl/>
              <w:jc w:val="left"/>
              <w:rPr>
                <w:rFonts w:hint="default" w:ascii="宋体" w:hAnsi="宋体" w:cs="宋体"/>
                <w:kern w:val="0"/>
                <w:sz w:val="20"/>
                <w:szCs w:val="20"/>
                <w:lang w:val="en-US" w:eastAsia="zh-CN"/>
              </w:rPr>
            </w:pPr>
            <w:r>
              <w:rPr>
                <w:rFonts w:hint="eastAsia" w:ascii="宋体" w:hAnsi="宋体" w:cs="宋体"/>
                <w:kern w:val="0"/>
                <w:sz w:val="20"/>
                <w:szCs w:val="20"/>
              </w:rPr>
              <w:t>-至今</w:t>
            </w:r>
          </w:p>
        </w:tc>
        <w:tc>
          <w:tcPr>
            <w:tcW w:w="623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2005.04-2009.08    上海证券报信息有限公司金融工程师</w:t>
            </w:r>
          </w:p>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2009.09-2012.02    新湖期货有限公司研究员</w:t>
            </w:r>
          </w:p>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2012.02-2013.07    新湖期货有限公司研究所副所长</w:t>
            </w:r>
          </w:p>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2013.07-2020.04    新湖期货有限公司研究所所长</w:t>
            </w:r>
          </w:p>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2020.04-至今       新湖期货股份有限公司研究所所长</w:t>
            </w:r>
          </w:p>
          <w:p>
            <w:pPr>
              <w:widowControl/>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2020.07-至今       新湖期货股份有限公司董事会秘书</w:t>
            </w:r>
          </w:p>
        </w:tc>
      </w:tr>
    </w:tbl>
    <w:p>
      <w:pPr>
        <w:pStyle w:val="2"/>
        <w:spacing w:before="0" w:after="0" w:line="520" w:lineRule="exact"/>
      </w:pPr>
      <w:bookmarkStart w:id="15" w:name="_Toc38626393"/>
      <w:r>
        <w:rPr>
          <w:rFonts w:hint="eastAsia"/>
        </w:rPr>
        <w:t>4.3 与经济、环境和社会业绩相关的政策及其实施情况</w:t>
      </w:r>
      <w:bookmarkEnd w:id="15"/>
    </w:p>
    <w:p>
      <w:pPr>
        <w:spacing w:line="520" w:lineRule="exact"/>
        <w:ind w:firstLine="560" w:firstLineChars="200"/>
        <w:jc w:val="left"/>
        <w:rPr>
          <w:rFonts w:hint="eastAsia" w:ascii="宋体" w:hAnsi="宋体"/>
          <w:sz w:val="28"/>
          <w:szCs w:val="28"/>
        </w:rPr>
      </w:pPr>
      <w:r>
        <w:rPr>
          <w:rFonts w:hint="eastAsia" w:ascii="宋体" w:hAnsi="宋体"/>
          <w:sz w:val="28"/>
          <w:szCs w:val="28"/>
        </w:rPr>
        <w:t>公司于2018年初提出了“经纪业务+”模式理念，并在2019年进一步深化为“1+6”增值业务转型发展战略，随后推出了“五线四板块”</w:t>
      </w:r>
      <w:r>
        <w:rPr>
          <w:rFonts w:hint="eastAsia" w:ascii="宋体" w:hAnsi="宋体"/>
          <w:sz w:val="28"/>
          <w:szCs w:val="28"/>
          <w:lang w:val="en-US" w:eastAsia="zh-CN"/>
        </w:rPr>
        <w:t>专业驱动投研</w:t>
      </w:r>
      <w:r>
        <w:rPr>
          <w:rFonts w:hint="eastAsia" w:ascii="宋体" w:hAnsi="宋体"/>
          <w:sz w:val="28"/>
          <w:szCs w:val="28"/>
        </w:rPr>
        <w:t>发展规划，全力打造高附加值服务。</w:t>
      </w:r>
    </w:p>
    <w:p>
      <w:pPr>
        <w:spacing w:line="520" w:lineRule="exact"/>
        <w:ind w:firstLine="560" w:firstLineChars="200"/>
        <w:rPr>
          <w:rFonts w:hint="eastAsia" w:ascii="宋体" w:hAnsi="宋体" w:eastAsia="宋体"/>
          <w:sz w:val="28"/>
          <w:szCs w:val="28"/>
          <w:lang w:val="en-US" w:eastAsia="zh-CN"/>
        </w:rPr>
      </w:pPr>
      <w:r>
        <w:rPr>
          <w:rFonts w:hint="eastAsia" w:ascii="宋体" w:hAnsi="宋体"/>
          <w:color w:val="000000"/>
          <w:sz w:val="28"/>
          <w:szCs w:val="28"/>
        </w:rPr>
        <w:t>2020年，公司</w:t>
      </w:r>
      <w:r>
        <w:rPr>
          <w:rFonts w:hint="eastAsia" w:ascii="宋体" w:hAnsi="宋体"/>
          <w:color w:val="000000"/>
          <w:sz w:val="28"/>
          <w:szCs w:val="28"/>
          <w:lang w:val="en-US" w:eastAsia="zh-CN"/>
        </w:rPr>
        <w:t>继续全力</w:t>
      </w:r>
      <w:r>
        <w:rPr>
          <w:rFonts w:hint="eastAsia" w:ascii="宋体" w:hAnsi="宋体"/>
          <w:color w:val="000000"/>
          <w:sz w:val="28"/>
          <w:szCs w:val="28"/>
        </w:rPr>
        <w:t>推动“五线四板块”投研业务体系发展，积极探索“1+6”增值业务模式，克服“二降”</w:t>
      </w:r>
      <w:r>
        <w:rPr>
          <w:rFonts w:hint="eastAsia" w:ascii="宋体" w:hAnsi="宋体"/>
          <w:color w:val="000000"/>
          <w:sz w:val="28"/>
          <w:szCs w:val="28"/>
          <w:lang w:eastAsia="zh-CN"/>
        </w:rPr>
        <w:t>（</w:t>
      </w:r>
      <w:r>
        <w:rPr>
          <w:rFonts w:hint="eastAsia" w:ascii="宋体" w:hAnsi="宋体"/>
          <w:color w:val="000000"/>
          <w:sz w:val="28"/>
          <w:szCs w:val="28"/>
          <w:lang w:val="en-US" w:eastAsia="zh-CN"/>
        </w:rPr>
        <w:t>手续费、利率</w:t>
      </w:r>
      <w:r>
        <w:rPr>
          <w:rFonts w:hint="eastAsia" w:ascii="宋体" w:hAnsi="宋体"/>
          <w:color w:val="000000"/>
          <w:sz w:val="28"/>
          <w:szCs w:val="28"/>
          <w:lang w:eastAsia="zh-CN"/>
        </w:rPr>
        <w:t>）</w:t>
      </w:r>
      <w:r>
        <w:rPr>
          <w:rFonts w:hint="eastAsia" w:ascii="宋体" w:hAnsi="宋体"/>
          <w:color w:val="000000"/>
          <w:sz w:val="28"/>
          <w:szCs w:val="28"/>
        </w:rPr>
        <w:t>带来的经营压力，形成“主业稳步增长，风险业务和资管业务双轮驱动”的良好局面，继续紧跟行业头部企业发展步伐。</w:t>
      </w:r>
      <w:r>
        <w:rPr>
          <w:rFonts w:hint="eastAsia" w:ascii="宋体" w:hAnsi="宋体" w:cs="宋体"/>
          <w:sz w:val="28"/>
          <w:szCs w:val="28"/>
          <w:lang w:val="en-US" w:eastAsia="zh-CN"/>
        </w:rPr>
        <w:t>在公司首倡的“保险+期货”模式上，</w:t>
      </w:r>
      <w:r>
        <w:rPr>
          <w:rFonts w:hint="eastAsia" w:ascii="宋体" w:hAnsi="宋体" w:cs="宋体"/>
          <w:sz w:val="28"/>
          <w:szCs w:val="28"/>
        </w:rPr>
        <w:t>2020年新湖期货在全国范围内新开展项目22个，</w:t>
      </w:r>
      <w:r>
        <w:rPr>
          <w:rFonts w:hint="eastAsia" w:ascii="宋体" w:hAnsi="宋体" w:cs="宋体"/>
          <w:sz w:val="28"/>
          <w:szCs w:val="28"/>
          <w:lang w:val="en-US" w:eastAsia="zh-CN"/>
        </w:rPr>
        <w:t>覆盖2个国家级贫困县（</w:t>
      </w:r>
      <w:r>
        <w:rPr>
          <w:rFonts w:hint="eastAsia" w:ascii="宋体" w:hAnsi="宋体" w:cs="宋体"/>
          <w:sz w:val="28"/>
          <w:szCs w:val="28"/>
        </w:rPr>
        <w:t>云南会泽县和广西罗城仫佬族自治县</w:t>
      </w:r>
      <w:r>
        <w:rPr>
          <w:rFonts w:hint="eastAsia" w:ascii="宋体" w:hAnsi="宋体" w:cs="宋体"/>
          <w:sz w:val="28"/>
          <w:szCs w:val="28"/>
          <w:lang w:val="en-US" w:eastAsia="zh-CN"/>
        </w:rPr>
        <w:t>），</w:t>
      </w:r>
      <w:r>
        <w:rPr>
          <w:rFonts w:hint="eastAsia" w:ascii="宋体" w:hAnsi="宋体" w:cs="宋体"/>
          <w:sz w:val="28"/>
          <w:szCs w:val="28"/>
        </w:rPr>
        <w:t>累计惠及农户约8万户</w:t>
      </w:r>
      <w:r>
        <w:rPr>
          <w:rFonts w:hint="eastAsia" w:ascii="宋体" w:hAnsi="宋体" w:cs="宋体"/>
          <w:sz w:val="28"/>
          <w:szCs w:val="28"/>
          <w:lang w:eastAsia="zh-CN"/>
        </w:rPr>
        <w:t>，</w:t>
      </w:r>
      <w:r>
        <w:rPr>
          <w:rFonts w:hint="eastAsia" w:ascii="宋体" w:hAnsi="宋体" w:cs="宋体"/>
          <w:sz w:val="28"/>
          <w:szCs w:val="28"/>
        </w:rPr>
        <w:t>其中建档立卡贫困户约1.5万户，对应场外期权名义本金约13亿，对农户实现赔付约4000万元</w:t>
      </w:r>
      <w:r>
        <w:rPr>
          <w:rFonts w:hint="eastAsia" w:ascii="宋体" w:hAnsi="宋体" w:cs="宋体"/>
          <w:sz w:val="28"/>
          <w:szCs w:val="28"/>
          <w:lang w:val="en-US" w:eastAsia="zh-CN"/>
        </w:rPr>
        <w:t>,为国家打赢脱贫攻坚决胜之战作出了应有的贡献。</w:t>
      </w:r>
    </w:p>
    <w:p>
      <w:pPr>
        <w:pStyle w:val="29"/>
        <w:spacing w:line="520" w:lineRule="exact"/>
        <w:rPr>
          <w:rFonts w:hint="default" w:ascii="宋体" w:hAnsi="宋体" w:eastAsia="宋体"/>
          <w:sz w:val="28"/>
          <w:szCs w:val="28"/>
          <w:lang w:val="en-US" w:eastAsia="zh-CN"/>
        </w:rPr>
      </w:pPr>
      <w:r>
        <w:rPr>
          <w:rFonts w:hint="eastAsia" w:ascii="宋体" w:hAnsi="宋体"/>
          <w:sz w:val="30"/>
          <w:szCs w:val="30"/>
        </w:rPr>
        <w:t>4.3.1</w:t>
      </w:r>
      <w:r>
        <w:rPr>
          <w:rFonts w:hint="eastAsia" w:ascii="黑体" w:hAnsi="黑体" w:eastAsia="黑体"/>
          <w:sz w:val="28"/>
          <w:szCs w:val="28"/>
        </w:rPr>
        <w:t xml:space="preserve"> </w:t>
      </w:r>
      <w:r>
        <w:rPr>
          <w:rFonts w:hint="eastAsia" w:ascii="宋体" w:hAnsi="宋体" w:eastAsia="黑体"/>
          <w:sz w:val="28"/>
          <w:szCs w:val="28"/>
          <w:lang w:val="en-US" w:eastAsia="zh-CN"/>
        </w:rPr>
        <w:t>2020</w:t>
      </w:r>
      <w:r>
        <w:rPr>
          <w:rFonts w:hint="eastAsia" w:ascii="宋体" w:hAnsi="宋体"/>
          <w:sz w:val="28"/>
          <w:szCs w:val="28"/>
        </w:rPr>
        <w:t>年度</w:t>
      </w:r>
      <w:r>
        <w:rPr>
          <w:rFonts w:hint="eastAsia" w:ascii="宋体" w:hAnsi="宋体"/>
          <w:sz w:val="28"/>
          <w:szCs w:val="28"/>
          <w:lang w:val="en-US" w:eastAsia="zh-CN"/>
        </w:rPr>
        <w:t>总体发展情况</w:t>
      </w:r>
    </w:p>
    <w:p>
      <w:pPr>
        <w:spacing w:line="520" w:lineRule="exact"/>
        <w:ind w:firstLine="645"/>
        <w:jc w:val="left"/>
        <w:rPr>
          <w:rFonts w:ascii="宋体" w:hAnsi="宋体"/>
          <w:sz w:val="28"/>
          <w:szCs w:val="28"/>
        </w:rPr>
      </w:pPr>
      <w:r>
        <w:rPr>
          <w:rFonts w:hint="eastAsia" w:ascii="宋体" w:hAnsi="宋体"/>
          <w:sz w:val="28"/>
          <w:szCs w:val="28"/>
        </w:rPr>
        <w:t>2019年6月，公司年中经营工作会议正式启动“1+6”增值业务转型发展战略。2019年9月</w:t>
      </w:r>
      <w:r>
        <w:rPr>
          <w:rFonts w:hint="eastAsia" w:ascii="宋体" w:hAnsi="宋体"/>
          <w:sz w:val="28"/>
          <w:szCs w:val="28"/>
          <w:lang w:eastAsia="zh-CN"/>
        </w:rPr>
        <w:t>，</w:t>
      </w:r>
      <w:r>
        <w:rPr>
          <w:rFonts w:hint="eastAsia" w:ascii="宋体" w:hAnsi="宋体"/>
          <w:sz w:val="28"/>
          <w:szCs w:val="28"/>
          <w:lang w:val="en-US" w:eastAsia="zh-CN"/>
        </w:rPr>
        <w:t>为</w:t>
      </w:r>
      <w:r>
        <w:rPr>
          <w:rFonts w:hint="eastAsia" w:ascii="宋体" w:hAnsi="宋体"/>
          <w:sz w:val="28"/>
          <w:szCs w:val="28"/>
        </w:rPr>
        <w:t>“1+6”增值业务转型发展战略</w:t>
      </w:r>
      <w:r>
        <w:rPr>
          <w:rFonts w:hint="eastAsia" w:ascii="宋体" w:hAnsi="宋体"/>
          <w:sz w:val="28"/>
          <w:szCs w:val="28"/>
          <w:lang w:val="en-US" w:eastAsia="zh-CN"/>
        </w:rPr>
        <w:t>提出配套的</w:t>
      </w:r>
      <w:r>
        <w:rPr>
          <w:rFonts w:hint="eastAsia" w:ascii="宋体" w:hAnsi="宋体"/>
          <w:sz w:val="28"/>
          <w:szCs w:val="28"/>
        </w:rPr>
        <w:t>“五线四板块”</w:t>
      </w:r>
      <w:r>
        <w:rPr>
          <w:rFonts w:hint="eastAsia" w:ascii="宋体" w:hAnsi="宋体"/>
          <w:sz w:val="28"/>
          <w:szCs w:val="28"/>
          <w:lang w:val="en-US" w:eastAsia="zh-CN"/>
        </w:rPr>
        <w:t>专业驱动投研发展规划。</w:t>
      </w:r>
      <w:r>
        <w:rPr>
          <w:rFonts w:hint="eastAsia" w:ascii="宋体" w:hAnsi="宋体" w:cs="宋体"/>
          <w:sz w:val="28"/>
          <w:szCs w:val="28"/>
        </w:rPr>
        <w:t>2020年度，为全力推动“五线四板块”专业驱动体系发展，公司对中台部门的业务资源、研究模式、管理线条进行全面统合梳理，开始建设“立足标准化，兼顾差异化和个性化需求”的投研服务体系，中台部门业务规范度和融合度实现较大提升，产出了大量优秀研究成果，</w:t>
      </w:r>
      <w:r>
        <w:rPr>
          <w:rFonts w:hint="eastAsia" w:ascii="宋体" w:hAnsi="宋体" w:cs="宋体"/>
          <w:sz w:val="28"/>
          <w:szCs w:val="28"/>
          <w:lang w:val="en-US" w:eastAsia="zh-CN"/>
        </w:rPr>
        <w:t>帮助公司</w:t>
      </w:r>
      <w:r>
        <w:rPr>
          <w:rFonts w:hint="eastAsia" w:ascii="宋体" w:hAnsi="宋体"/>
          <w:color w:val="000000"/>
          <w:sz w:val="28"/>
          <w:szCs w:val="28"/>
        </w:rPr>
        <w:t>克服“二降”带来的经营压力，形成“主业稳步增长，风险业务和资管业务双轮驱动”的良好局面，继续紧跟行业头部企业发展步伐。</w:t>
      </w:r>
    </w:p>
    <w:p>
      <w:pPr>
        <w:spacing w:line="520" w:lineRule="exact"/>
        <w:jc w:val="left"/>
        <w:rPr>
          <w:rFonts w:hint="eastAsia" w:ascii="宋体" w:hAnsi="宋体"/>
          <w:sz w:val="28"/>
          <w:szCs w:val="28"/>
        </w:rPr>
      </w:pPr>
      <w:r>
        <w:rPr>
          <w:rFonts w:hint="eastAsia" w:ascii="宋体" w:hAnsi="宋体"/>
          <w:sz w:val="28"/>
          <w:szCs w:val="28"/>
        </w:rPr>
        <w:t>4.3.2 增值业务和“五线四板块”模式探索发展情况</w:t>
      </w:r>
    </w:p>
    <w:p>
      <w:pPr>
        <w:spacing w:line="520" w:lineRule="exact"/>
        <w:ind w:firstLine="490" w:firstLineChars="175"/>
        <w:jc w:val="left"/>
        <w:rPr>
          <w:rFonts w:ascii="宋体" w:hAnsi="宋体" w:cs="宋体"/>
          <w:sz w:val="28"/>
          <w:szCs w:val="28"/>
        </w:rPr>
      </w:pPr>
      <w:r>
        <w:rPr>
          <w:rFonts w:hint="eastAsia" w:ascii="宋体" w:hAnsi="宋体" w:cs="宋体"/>
          <w:sz w:val="28"/>
          <w:szCs w:val="28"/>
        </w:rPr>
        <w:t>2020年度，为全力推动“五线四板块”专业驱动体系发展，公司对中台部门的业务资源、研究模式、管理线条进行全面统合梳理，开始建设“立足标准化，兼顾差异化和个性化需求”的投研服务体系，中台部门业务规范度和融合度实现较大提升，产出了大量优秀研究成果，风险管理业务和资管业务受益良多，发展迅速。</w:t>
      </w:r>
    </w:p>
    <w:p>
      <w:pPr>
        <w:spacing w:line="520" w:lineRule="exact"/>
        <w:ind w:firstLine="645"/>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一、</w:t>
      </w:r>
      <w:r>
        <w:rPr>
          <w:rFonts w:hint="eastAsia" w:asciiTheme="minorEastAsia" w:hAnsiTheme="minorEastAsia" w:eastAsiaTheme="minorEastAsia" w:cstheme="minorEastAsia"/>
          <w:bCs/>
          <w:sz w:val="28"/>
          <w:szCs w:val="28"/>
        </w:rPr>
        <w:t>风险管理业务快速增长</w:t>
      </w:r>
    </w:p>
    <w:p>
      <w:pPr>
        <w:spacing w:line="520" w:lineRule="exact"/>
        <w:ind w:firstLine="490" w:firstLineChars="175"/>
        <w:jc w:val="left"/>
        <w:rPr>
          <w:rFonts w:hint="eastAsia" w:ascii="宋体" w:hAnsi="宋体" w:cs="宋体"/>
          <w:sz w:val="28"/>
          <w:szCs w:val="28"/>
        </w:rPr>
      </w:pPr>
      <w:r>
        <w:rPr>
          <w:rFonts w:hint="eastAsia" w:ascii="宋体" w:hAnsi="宋体" w:cs="宋体"/>
          <w:sz w:val="28"/>
          <w:szCs w:val="28"/>
        </w:rPr>
        <w:t>近年来，风险管理业务成为公司最重要的利润增长点。2020年，该业务板块以“五线四板块”专业驱动体系为支撑，继续推动开展商品基差、商品场外、做市商业务，效益规模不断提升。</w:t>
      </w:r>
    </w:p>
    <w:p>
      <w:pPr>
        <w:spacing w:line="520" w:lineRule="exact"/>
        <w:ind w:firstLine="490" w:firstLineChars="175"/>
        <w:jc w:val="left"/>
        <w:rPr>
          <w:rFonts w:ascii="宋体" w:hAnsi="宋体" w:cs="宋体"/>
          <w:sz w:val="28"/>
          <w:szCs w:val="28"/>
        </w:rPr>
      </w:pPr>
      <w:r>
        <w:rPr>
          <w:rFonts w:hint="eastAsia" w:ascii="宋体" w:hAnsi="宋体" w:cs="宋体"/>
          <w:sz w:val="28"/>
          <w:szCs w:val="28"/>
          <w:lang w:val="en-US" w:eastAsia="zh-CN"/>
        </w:rPr>
        <w:t>（一）</w:t>
      </w:r>
      <w:r>
        <w:rPr>
          <w:rFonts w:hint="eastAsia" w:ascii="宋体" w:hAnsi="宋体" w:cs="宋体"/>
          <w:sz w:val="28"/>
          <w:szCs w:val="28"/>
        </w:rPr>
        <w:t>场外交易业务规模稳步提升</w:t>
      </w:r>
    </w:p>
    <w:p>
      <w:pPr>
        <w:spacing w:line="520" w:lineRule="exact"/>
        <w:ind w:firstLine="490" w:firstLineChars="175"/>
        <w:jc w:val="left"/>
        <w:rPr>
          <w:rFonts w:ascii="宋体" w:hAnsi="宋体" w:cs="宋体"/>
          <w:sz w:val="28"/>
          <w:szCs w:val="28"/>
        </w:rPr>
      </w:pPr>
      <w:r>
        <w:rPr>
          <w:rFonts w:hint="eastAsia" w:ascii="宋体" w:hAnsi="宋体" w:cs="宋体"/>
          <w:sz w:val="28"/>
          <w:szCs w:val="28"/>
        </w:rPr>
        <w:t>公司本年度深挖场外商品期权业务和商品互换业务潜力，梳理业务流程制度，在后台信息化建设和产品设计上取得了较大进步，场外业务成交名义本金</w:t>
      </w:r>
      <w:r>
        <w:rPr>
          <w:rFonts w:hint="eastAsia" w:ascii="宋体" w:hAnsi="宋体" w:cs="宋体"/>
          <w:sz w:val="28"/>
          <w:szCs w:val="28"/>
          <w:lang w:val="en-US" w:eastAsia="zh-CN"/>
        </w:rPr>
        <w:t>和</w:t>
      </w:r>
      <w:r>
        <w:rPr>
          <w:rFonts w:hint="eastAsia" w:ascii="宋体" w:hAnsi="宋体" w:cs="宋体"/>
          <w:sz w:val="28"/>
          <w:szCs w:val="28"/>
        </w:rPr>
        <w:t>业务收入</w:t>
      </w:r>
      <w:r>
        <w:rPr>
          <w:rFonts w:hint="eastAsia" w:ascii="宋体" w:hAnsi="宋体" w:cs="宋体"/>
          <w:sz w:val="28"/>
          <w:szCs w:val="28"/>
          <w:lang w:val="en-US" w:eastAsia="zh-CN"/>
        </w:rPr>
        <w:t>均</w:t>
      </w:r>
      <w:r>
        <w:rPr>
          <w:rFonts w:hint="eastAsia" w:ascii="宋体" w:hAnsi="宋体" w:cs="宋体"/>
          <w:sz w:val="28"/>
          <w:szCs w:val="28"/>
        </w:rPr>
        <w:t>创近年新高。</w:t>
      </w:r>
    </w:p>
    <w:p>
      <w:pPr>
        <w:spacing w:line="520" w:lineRule="exact"/>
        <w:ind w:firstLine="490" w:firstLineChars="175"/>
        <w:jc w:val="left"/>
        <w:rPr>
          <w:rFonts w:ascii="宋体" w:hAnsi="宋体" w:cs="宋体"/>
          <w:sz w:val="28"/>
          <w:szCs w:val="28"/>
        </w:rPr>
      </w:pPr>
      <w:r>
        <w:rPr>
          <w:rFonts w:hint="eastAsia" w:ascii="宋体" w:hAnsi="宋体" w:cs="宋体"/>
          <w:sz w:val="28"/>
          <w:szCs w:val="28"/>
          <w:lang w:val="en-US" w:eastAsia="zh-CN"/>
        </w:rPr>
        <w:t>（二）</w:t>
      </w:r>
      <w:r>
        <w:rPr>
          <w:rFonts w:hint="eastAsia" w:ascii="宋体" w:hAnsi="宋体" w:cs="宋体"/>
          <w:sz w:val="28"/>
          <w:szCs w:val="28"/>
        </w:rPr>
        <w:t>期现部门管理提升显著</w:t>
      </w:r>
    </w:p>
    <w:p>
      <w:pPr>
        <w:spacing w:line="520" w:lineRule="exact"/>
        <w:ind w:firstLine="490" w:firstLineChars="175"/>
        <w:jc w:val="left"/>
        <w:rPr>
          <w:rFonts w:ascii="宋体" w:hAnsi="宋体" w:cs="宋体"/>
          <w:sz w:val="28"/>
          <w:szCs w:val="28"/>
        </w:rPr>
      </w:pPr>
      <w:r>
        <w:rPr>
          <w:rFonts w:hint="eastAsia" w:ascii="宋体" w:hAnsi="宋体" w:cs="宋体"/>
          <w:sz w:val="28"/>
          <w:szCs w:val="28"/>
        </w:rPr>
        <w:t>2020年，公司对该业务黑色、化工、农产品条线进行全面调整升级，强化建设大能化板块架构，优化部分条线的人员配置，厘清岗位职能，提升了该业务的管理水平。</w:t>
      </w:r>
    </w:p>
    <w:p>
      <w:pPr>
        <w:spacing w:line="520" w:lineRule="exact"/>
        <w:ind w:firstLine="490" w:firstLineChars="175"/>
        <w:jc w:val="left"/>
        <w:rPr>
          <w:rFonts w:ascii="宋体" w:hAnsi="宋体" w:cs="宋体"/>
          <w:sz w:val="28"/>
          <w:szCs w:val="28"/>
        </w:rPr>
      </w:pPr>
      <w:r>
        <w:rPr>
          <w:rFonts w:hint="eastAsia" w:ascii="宋体" w:hAnsi="宋体" w:cs="宋体"/>
          <w:sz w:val="28"/>
          <w:szCs w:val="28"/>
          <w:lang w:val="en-US" w:eastAsia="zh-CN"/>
        </w:rPr>
        <w:t>（三）</w:t>
      </w:r>
      <w:r>
        <w:rPr>
          <w:rFonts w:hint="eastAsia" w:ascii="宋体" w:hAnsi="宋体" w:cs="宋体"/>
          <w:sz w:val="28"/>
          <w:szCs w:val="28"/>
        </w:rPr>
        <w:t>做市商部门发展基础更加扎实</w:t>
      </w:r>
    </w:p>
    <w:p>
      <w:pPr>
        <w:spacing w:line="520" w:lineRule="exact"/>
        <w:ind w:firstLine="490" w:firstLineChars="175"/>
        <w:jc w:val="left"/>
        <w:rPr>
          <w:rFonts w:ascii="宋体" w:hAnsi="宋体" w:cs="宋体"/>
          <w:sz w:val="28"/>
          <w:szCs w:val="28"/>
        </w:rPr>
      </w:pPr>
      <w:r>
        <w:rPr>
          <w:rFonts w:hint="eastAsia" w:ascii="宋体" w:hAnsi="宋体" w:cs="宋体"/>
          <w:sz w:val="28"/>
          <w:szCs w:val="28"/>
        </w:rPr>
        <w:t>2020年公司做市商业务共取得6个期货品种及2个期货品种期权做市商业务资格，目前做市商部门已取得18个期货期权做市商品资格，未来公司将进一步围绕做市技术升级和团队建设为该项业务打下坚实基础。</w:t>
      </w:r>
    </w:p>
    <w:p>
      <w:pPr>
        <w:numPr>
          <w:ilvl w:val="0"/>
          <w:numId w:val="0"/>
        </w:numPr>
        <w:spacing w:line="52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二、</w:t>
      </w:r>
      <w:r>
        <w:rPr>
          <w:rFonts w:hint="eastAsia" w:asciiTheme="minorEastAsia" w:hAnsiTheme="minorEastAsia" w:eastAsiaTheme="minorEastAsia" w:cstheme="minorEastAsia"/>
          <w:bCs/>
          <w:sz w:val="28"/>
          <w:szCs w:val="28"/>
        </w:rPr>
        <w:t>资产管理业务成为又一增长引擎</w:t>
      </w:r>
    </w:p>
    <w:p>
      <w:pPr>
        <w:spacing w:line="520" w:lineRule="exact"/>
        <w:ind w:firstLine="490" w:firstLineChars="175"/>
        <w:jc w:val="left"/>
        <w:rPr>
          <w:rFonts w:hint="eastAsia" w:ascii="宋体" w:hAnsi="宋体" w:cs="宋体"/>
          <w:sz w:val="28"/>
          <w:szCs w:val="28"/>
        </w:rPr>
      </w:pPr>
      <w:r>
        <w:rPr>
          <w:rFonts w:hint="eastAsia" w:ascii="宋体" w:hAnsi="宋体" w:cs="宋体"/>
          <w:sz w:val="28"/>
          <w:szCs w:val="28"/>
        </w:rPr>
        <w:t>2020年公司资产管理业务依靠“五线四板块”</w:t>
      </w:r>
      <w:r>
        <w:rPr>
          <w:rFonts w:hint="eastAsia" w:ascii="宋体" w:hAnsi="宋体" w:cs="宋体"/>
          <w:sz w:val="28"/>
          <w:szCs w:val="28"/>
          <w:lang w:val="en-US" w:eastAsia="zh-CN"/>
        </w:rPr>
        <w:t>宏观量化</w:t>
      </w:r>
      <w:r>
        <w:rPr>
          <w:rFonts w:hint="eastAsia" w:ascii="宋体" w:hAnsi="宋体" w:cs="宋体"/>
          <w:sz w:val="28"/>
          <w:szCs w:val="28"/>
        </w:rPr>
        <w:t>策略，科学设置产品策略，满足多样化客户需求，成长为公司又一发展引擎。</w:t>
      </w:r>
    </w:p>
    <w:p>
      <w:pPr>
        <w:spacing w:line="520" w:lineRule="exact"/>
        <w:ind w:firstLine="560" w:firstLineChars="200"/>
        <w:jc w:val="left"/>
        <w:rPr>
          <w:rFonts w:ascii="宋体" w:hAnsi="宋体" w:cs="宋体"/>
          <w:bCs/>
          <w:sz w:val="28"/>
          <w:szCs w:val="28"/>
        </w:rPr>
      </w:pPr>
      <w:r>
        <w:rPr>
          <w:rFonts w:hint="eastAsia" w:ascii="宋体" w:hAnsi="宋体" w:cs="宋体"/>
          <w:bCs/>
          <w:sz w:val="28"/>
          <w:szCs w:val="28"/>
          <w:lang w:val="en-US" w:eastAsia="zh-CN"/>
        </w:rPr>
        <w:t>（一）</w:t>
      </w:r>
      <w:r>
        <w:rPr>
          <w:rFonts w:hint="eastAsia" w:ascii="宋体" w:hAnsi="宋体" w:cs="宋体"/>
          <w:bCs/>
          <w:sz w:val="28"/>
          <w:szCs w:val="28"/>
        </w:rPr>
        <w:t>产品核心策略取得极大提升</w:t>
      </w:r>
    </w:p>
    <w:p>
      <w:pPr>
        <w:spacing w:line="520" w:lineRule="exact"/>
        <w:ind w:firstLine="560" w:firstLineChars="200"/>
        <w:rPr>
          <w:rFonts w:ascii="宋体" w:hAnsi="宋体" w:cs="宋体"/>
          <w:sz w:val="28"/>
          <w:szCs w:val="28"/>
        </w:rPr>
      </w:pPr>
      <w:r>
        <w:rPr>
          <w:rFonts w:hint="eastAsia" w:ascii="宋体" w:hAnsi="宋体" w:cs="宋体"/>
          <w:sz w:val="28"/>
          <w:szCs w:val="28"/>
        </w:rPr>
        <w:t>公司资管业务以“五线四板块”核心策略为主体，对策略生成端进行深究细考，策略研报（“金品汇”）行情研判胜率维持在70%以上。公司坚持实施“风险金量化仓位管控”制度，形成“刚性止损、柔性止盈，曲线回撤管理”的个性化风控方案，即对每笔交易设置止损价，按止损空间决定仓位配置数量，发生异常则立即回撤，切实保证了相关产品风险可控，净值曲线更加平滑，盈利更加稳定。</w:t>
      </w:r>
    </w:p>
    <w:p>
      <w:pPr>
        <w:spacing w:line="520" w:lineRule="exact"/>
        <w:ind w:firstLine="560" w:firstLineChars="200"/>
        <w:jc w:val="left"/>
        <w:rPr>
          <w:rFonts w:ascii="宋体" w:hAnsi="宋体" w:cs="宋体"/>
          <w:bCs/>
          <w:color w:val="000000"/>
          <w:kern w:val="0"/>
          <w:sz w:val="28"/>
          <w:szCs w:val="28"/>
        </w:rPr>
      </w:pPr>
      <w:r>
        <w:rPr>
          <w:rFonts w:hint="eastAsia" w:ascii="宋体" w:hAnsi="宋体" w:cs="宋体"/>
          <w:bCs/>
          <w:sz w:val="28"/>
          <w:szCs w:val="28"/>
          <w:lang w:val="en-US" w:eastAsia="zh-CN"/>
        </w:rPr>
        <w:t>（二）</w:t>
      </w:r>
      <w:r>
        <w:rPr>
          <w:rFonts w:hint="eastAsia" w:ascii="宋体" w:hAnsi="宋体" w:cs="宋体"/>
          <w:bCs/>
          <w:sz w:val="28"/>
          <w:szCs w:val="28"/>
        </w:rPr>
        <w:t>产品设置实现了客户层次全覆盖</w:t>
      </w:r>
    </w:p>
    <w:p>
      <w:pPr>
        <w:spacing w:line="520" w:lineRule="exact"/>
        <w:ind w:firstLine="560" w:firstLineChars="200"/>
        <w:rPr>
          <w:rFonts w:ascii="宋体" w:hAnsi="宋体" w:cs="宋体"/>
          <w:sz w:val="28"/>
          <w:szCs w:val="28"/>
        </w:rPr>
      </w:pPr>
      <w:r>
        <w:rPr>
          <w:rFonts w:hint="eastAsia" w:ascii="宋体" w:hAnsi="宋体" w:cs="宋体"/>
          <w:sz w:val="28"/>
          <w:szCs w:val="28"/>
        </w:rPr>
        <w:t>2020年，公司</w:t>
      </w:r>
      <w:r>
        <w:rPr>
          <w:rFonts w:hint="eastAsia" w:ascii="宋体" w:hAnsi="宋体" w:cs="宋体"/>
          <w:sz w:val="28"/>
          <w:szCs w:val="28"/>
          <w:lang w:val="en-US" w:eastAsia="zh-CN"/>
        </w:rPr>
        <w:t>继续不断增加资管产品，提升产品客户覆盖面</w:t>
      </w:r>
      <w:r>
        <w:rPr>
          <w:rFonts w:hint="eastAsia" w:ascii="宋体" w:hAnsi="宋体" w:cs="宋体"/>
          <w:sz w:val="28"/>
          <w:szCs w:val="28"/>
        </w:rPr>
        <w:t>。公司对这些产品按照不同投资者需求进行了分类设置，分别为高风险高收益的“博胜”系列、中高风险高收益的“鸿图”系列、中风险中收益的“创稳”系列和低风险中收益的“磐安系列，初步形成适应各类投资者的全方位资管产品体系。</w:t>
      </w:r>
    </w:p>
    <w:p>
      <w:pPr>
        <w:spacing w:line="520" w:lineRule="exact"/>
        <w:ind w:firstLine="560" w:firstLineChars="200"/>
        <w:jc w:val="left"/>
        <w:rPr>
          <w:rFonts w:ascii="宋体" w:hAnsi="宋体" w:cs="宋体"/>
          <w:sz w:val="28"/>
          <w:szCs w:val="28"/>
        </w:rPr>
      </w:pPr>
      <w:r>
        <w:rPr>
          <w:rFonts w:hint="eastAsia" w:ascii="宋体" w:hAnsi="宋体" w:cs="宋体"/>
          <w:sz w:val="28"/>
          <w:szCs w:val="28"/>
          <w:lang w:val="en-US" w:eastAsia="zh-CN"/>
        </w:rPr>
        <w:t>（三）</w:t>
      </w:r>
      <w:r>
        <w:rPr>
          <w:rFonts w:hint="eastAsia" w:ascii="宋体" w:hAnsi="宋体" w:cs="宋体"/>
          <w:sz w:val="28"/>
          <w:szCs w:val="28"/>
        </w:rPr>
        <w:t>产品推介销售渠道实现全面提升</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公司资产管理业务在推广宣传、营销模式、渠道拓展等方面实现了全面提升。一是建立策略周报发布体系，</w:t>
      </w:r>
      <w:r>
        <w:rPr>
          <w:rFonts w:hint="eastAsia" w:ascii="宋体" w:hAnsi="宋体" w:cs="Helvetica Neue"/>
          <w:color w:val="000000"/>
          <w:kern w:val="0"/>
          <w:sz w:val="28"/>
          <w:szCs w:val="28"/>
        </w:rPr>
        <w:t>重点展示“五线四板块”产品业绩变化，使得客户能直观、实时了解产品运营趋势；二是经常性组织产品线上路演培训，</w:t>
      </w:r>
      <w:r>
        <w:rPr>
          <w:rFonts w:hint="eastAsia" w:ascii="宋体" w:hAnsi="宋体"/>
          <w:sz w:val="28"/>
          <w:szCs w:val="28"/>
        </w:rPr>
        <w:t>让营销人员充分了解产品特点，提升其销售技能；三是广泛与分支机构协同举办</w:t>
      </w:r>
      <w:r>
        <w:rPr>
          <w:rFonts w:hint="eastAsia" w:ascii="宋体" w:hAnsi="宋体"/>
          <w:sz w:val="28"/>
          <w:szCs w:val="32"/>
        </w:rPr>
        <w:t>“投资者见面交流会”，推广资管业务成果，使得各类客户对公司资管业务信心不断提升。</w:t>
      </w:r>
    </w:p>
    <w:p>
      <w:pPr>
        <w:numPr>
          <w:ilvl w:val="0"/>
          <w:numId w:val="0"/>
        </w:numPr>
        <w:spacing w:line="520" w:lineRule="exact"/>
        <w:ind w:firstLine="560"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三、</w:t>
      </w:r>
      <w:r>
        <w:rPr>
          <w:rFonts w:hint="eastAsia" w:asciiTheme="minorEastAsia" w:hAnsiTheme="minorEastAsia" w:eastAsiaTheme="minorEastAsia" w:cstheme="minorEastAsia"/>
          <w:b w:val="0"/>
          <w:bCs/>
          <w:sz w:val="28"/>
          <w:szCs w:val="28"/>
        </w:rPr>
        <w:t>其他增值业务探索积极开展</w:t>
      </w:r>
    </w:p>
    <w:p>
      <w:pPr>
        <w:spacing w:line="520" w:lineRule="exact"/>
        <w:ind w:firstLine="560" w:firstLineChars="200"/>
        <w:jc w:val="left"/>
        <w:rPr>
          <w:rFonts w:ascii="宋体" w:hAnsi="宋体" w:cs="宋体"/>
          <w:bCs/>
          <w:sz w:val="28"/>
          <w:szCs w:val="28"/>
        </w:rPr>
      </w:pPr>
      <w:r>
        <w:rPr>
          <w:rFonts w:hint="eastAsia" w:ascii="宋体" w:hAnsi="宋体" w:cs="宋体"/>
          <w:bCs/>
          <w:sz w:val="28"/>
          <w:szCs w:val="28"/>
        </w:rPr>
        <w:t>风险管理业务和资管业务外，公司还在投资咨询、差异化手续费、基金代销等方面继续推动探索，取得了一定成果。</w:t>
      </w:r>
    </w:p>
    <w:p>
      <w:pPr>
        <w:spacing w:line="520" w:lineRule="exact"/>
        <w:ind w:firstLine="560" w:firstLineChars="200"/>
        <w:rPr>
          <w:rFonts w:ascii="宋体" w:hAnsi="宋体"/>
          <w:sz w:val="28"/>
          <w:szCs w:val="28"/>
        </w:rPr>
      </w:pPr>
      <w:r>
        <w:rPr>
          <w:rFonts w:hint="eastAsia" w:ascii="宋体" w:hAnsi="宋体" w:cs="宋体"/>
          <w:b w:val="0"/>
          <w:bCs/>
          <w:sz w:val="28"/>
          <w:szCs w:val="28"/>
          <w:lang w:val="en-US" w:eastAsia="zh-CN"/>
        </w:rPr>
        <w:t>（一）</w:t>
      </w:r>
      <w:r>
        <w:rPr>
          <w:rFonts w:hint="eastAsia" w:ascii="宋体" w:hAnsi="宋体" w:cs="宋体"/>
          <w:b w:val="0"/>
          <w:bCs/>
          <w:sz w:val="28"/>
          <w:szCs w:val="28"/>
        </w:rPr>
        <w:t>投资咨询业务方面，</w:t>
      </w:r>
      <w:r>
        <w:rPr>
          <w:rFonts w:hint="eastAsia" w:ascii="宋体" w:hAnsi="宋体"/>
          <w:b w:val="0"/>
          <w:bCs/>
          <w:sz w:val="28"/>
          <w:szCs w:val="28"/>
        </w:rPr>
        <w:t>为进一步提升该项</w:t>
      </w:r>
      <w:r>
        <w:rPr>
          <w:rFonts w:hint="eastAsia" w:ascii="宋体" w:hAnsi="宋体"/>
          <w:sz w:val="28"/>
          <w:szCs w:val="28"/>
        </w:rPr>
        <w:t>业务培训实际效果，增强对产业客户、金融机构客户和自然人客户开发能力，公司设立衍生品培训学院，系统化建设公司客户投教培训体系。分支机构方面，以深圳分公司牵头，福建分公司、海口营业部、重庆营业部积极参与，联手打造“战·期货”系列培训品牌。</w:t>
      </w:r>
    </w:p>
    <w:p>
      <w:pPr>
        <w:spacing w:line="520" w:lineRule="exact"/>
        <w:ind w:firstLine="560" w:firstLineChars="200"/>
        <w:jc w:val="left"/>
        <w:rPr>
          <w:rFonts w:ascii="宋体" w:hAnsi="宋体" w:cs="宋体"/>
          <w:b w:val="0"/>
          <w:bCs/>
          <w:sz w:val="28"/>
          <w:szCs w:val="28"/>
        </w:rPr>
      </w:pPr>
      <w:r>
        <w:rPr>
          <w:rFonts w:hint="eastAsia" w:ascii="宋体" w:hAnsi="宋体" w:cs="宋体"/>
          <w:b w:val="0"/>
          <w:bCs/>
          <w:sz w:val="28"/>
          <w:szCs w:val="28"/>
          <w:lang w:val="en-US" w:eastAsia="zh-CN"/>
        </w:rPr>
        <w:t>（二）</w:t>
      </w:r>
      <w:r>
        <w:rPr>
          <w:rFonts w:hint="eastAsia" w:ascii="宋体" w:hAnsi="宋体" w:cs="宋体"/>
          <w:b w:val="0"/>
          <w:bCs/>
          <w:sz w:val="28"/>
          <w:szCs w:val="28"/>
        </w:rPr>
        <w:t>差异化手续费方面，</w:t>
      </w:r>
      <w:r>
        <w:rPr>
          <w:rFonts w:hint="eastAsia" w:ascii="宋体" w:hAnsi="宋体"/>
          <w:b w:val="0"/>
          <w:bCs/>
          <w:sz w:val="28"/>
          <w:szCs w:val="28"/>
        </w:rPr>
        <w:t>北京分公司、业务总部、福建分公司等，通过直面大客户个性化需求，在该项业务上进行了有借鉴性意义的探索。2021年，公司将对该项业务实践结果进行全面分析，优化实施方案，以期产生更为良好的成果。</w:t>
      </w:r>
    </w:p>
    <w:p>
      <w:pPr>
        <w:spacing w:line="520" w:lineRule="exact"/>
        <w:ind w:firstLine="560" w:firstLineChars="200"/>
        <w:rPr>
          <w:rFonts w:ascii="宋体" w:hAnsi="宋体"/>
          <w:sz w:val="28"/>
          <w:szCs w:val="28"/>
        </w:rPr>
      </w:pPr>
      <w:r>
        <w:rPr>
          <w:rFonts w:hint="eastAsia" w:ascii="宋体" w:hAnsi="宋体" w:cs="宋体"/>
          <w:b w:val="0"/>
          <w:bCs/>
          <w:sz w:val="28"/>
          <w:szCs w:val="28"/>
          <w:lang w:val="en-US" w:eastAsia="zh-CN"/>
        </w:rPr>
        <w:t>（三）</w:t>
      </w:r>
      <w:r>
        <w:rPr>
          <w:rFonts w:hint="eastAsia" w:ascii="宋体" w:hAnsi="宋体" w:cs="宋体"/>
          <w:b w:val="0"/>
          <w:bCs/>
          <w:sz w:val="28"/>
          <w:szCs w:val="28"/>
        </w:rPr>
        <w:t>基金代销业务方面，</w:t>
      </w:r>
      <w:r>
        <w:rPr>
          <w:rFonts w:hint="eastAsia" w:ascii="宋体" w:hAnsi="宋体"/>
          <w:b w:val="0"/>
          <w:bCs/>
          <w:sz w:val="28"/>
          <w:szCs w:val="28"/>
        </w:rPr>
        <w:t>公司于2020年8月完成申牌材料准备并报送上海证监局审批，目前正处于排</w:t>
      </w:r>
      <w:r>
        <w:rPr>
          <w:rFonts w:hint="eastAsia" w:ascii="宋体" w:hAnsi="宋体"/>
          <w:sz w:val="28"/>
          <w:szCs w:val="28"/>
        </w:rPr>
        <w:t>序等待状态。为不影响工作进程，我司已积极联络、筛选优秀基金产品和机构合作方，建立了优秀产品和机构资料库，待2021年牌照获批后，该项业务预计将形成又一利润增长点。</w:t>
      </w:r>
    </w:p>
    <w:p>
      <w:pPr>
        <w:spacing w:line="520" w:lineRule="exact"/>
        <w:rPr>
          <w:rFonts w:hint="eastAsia" w:ascii="宋体" w:hAnsi="宋体"/>
          <w:sz w:val="28"/>
          <w:szCs w:val="28"/>
        </w:rPr>
      </w:pPr>
      <w:r>
        <w:rPr>
          <w:rFonts w:hint="eastAsia" w:ascii="宋体" w:hAnsi="宋体"/>
          <w:sz w:val="30"/>
          <w:szCs w:val="30"/>
        </w:rPr>
        <w:t>4.3.3</w:t>
      </w:r>
      <w:r>
        <w:rPr>
          <w:rFonts w:hint="eastAsia" w:ascii="宋体" w:hAnsi="宋体"/>
          <w:sz w:val="28"/>
          <w:szCs w:val="28"/>
        </w:rPr>
        <w:t>改革条线机制，进行中台部门业绩考核探索</w:t>
      </w:r>
    </w:p>
    <w:p>
      <w:pPr>
        <w:spacing w:line="520" w:lineRule="exact"/>
        <w:ind w:firstLine="560" w:firstLineChars="200"/>
        <w:jc w:val="left"/>
        <w:rPr>
          <w:rFonts w:ascii="宋体" w:hAnsi="宋体" w:cs="宋体"/>
          <w:sz w:val="28"/>
          <w:szCs w:val="28"/>
        </w:rPr>
      </w:pPr>
      <w:r>
        <w:rPr>
          <w:rFonts w:hint="eastAsia"/>
          <w:sz w:val="28"/>
          <w:szCs w:val="28"/>
        </w:rPr>
        <w:t>2020年9月起，为推动创新增值业务快速发展，公司针对研究所、金融机构事业总部、</w:t>
      </w:r>
      <w:r>
        <w:rPr>
          <w:rFonts w:hint="eastAsia" w:ascii="宋体" w:hAnsi="宋体" w:cs="宋体"/>
          <w:sz w:val="28"/>
          <w:szCs w:val="28"/>
        </w:rPr>
        <w:t>农产品事业总部、有色贵金属事业总部、能化事业总部、黑色品种事业总部6个中台业务部门，开始</w:t>
      </w:r>
      <w:r>
        <w:rPr>
          <w:rFonts w:hint="eastAsia"/>
          <w:sz w:val="28"/>
          <w:szCs w:val="28"/>
        </w:rPr>
        <w:t>进行业务统合，打造</w:t>
      </w:r>
      <w:r>
        <w:rPr>
          <w:rFonts w:hint="eastAsia" w:ascii="宋体" w:hAnsi="宋体" w:cs="宋体"/>
          <w:sz w:val="28"/>
          <w:szCs w:val="28"/>
        </w:rPr>
        <w:t>标准化服务模式。</w:t>
      </w:r>
    </w:p>
    <w:p>
      <w:pPr>
        <w:spacing w:line="520" w:lineRule="exact"/>
        <w:ind w:firstLine="560" w:firstLineChars="200"/>
        <w:jc w:val="left"/>
        <w:rPr>
          <w:sz w:val="28"/>
          <w:szCs w:val="28"/>
        </w:rPr>
      </w:pPr>
      <w:r>
        <w:rPr>
          <w:rFonts w:hint="eastAsia" w:ascii="宋体" w:hAnsi="宋体" w:cs="宋体"/>
          <w:sz w:val="28"/>
          <w:szCs w:val="28"/>
        </w:rPr>
        <w:t>一是针对上述六部门开展</w:t>
      </w:r>
      <w:r>
        <w:rPr>
          <w:rFonts w:hint="eastAsia"/>
          <w:sz w:val="28"/>
          <w:szCs w:val="28"/>
        </w:rPr>
        <w:t>积分制管理考核变革探索，旨在通过积分衡量员工工作贡献，将待遇、福利与积分挂钩，向高分倾斜，刺激中台部门业务拓展的积极性和主动性。实行3个多月来，各中台部分普遍反映考核管理更为清晰直观，对员工模糊地带工作业绩有了更好地评价依据，提升了相关部门工作效率和团队士气。</w:t>
      </w:r>
    </w:p>
    <w:p>
      <w:pPr>
        <w:spacing w:line="520" w:lineRule="exact"/>
        <w:ind w:firstLine="560" w:firstLineChars="200"/>
        <w:jc w:val="left"/>
        <w:rPr>
          <w:rFonts w:ascii="宋体" w:hAnsi="宋体"/>
          <w:sz w:val="28"/>
          <w:szCs w:val="28"/>
        </w:rPr>
      </w:pPr>
      <w:r>
        <w:rPr>
          <w:rFonts w:hint="eastAsia" w:ascii="宋体" w:hAnsi="宋体" w:cs="宋体"/>
          <w:sz w:val="28"/>
          <w:szCs w:val="28"/>
        </w:rPr>
        <w:t>二是将农产品事业总部、有色贵金属事业总部、能化事业总部、黑色品种事业总部统合为品种事业总部，在充分挖掘这些部门特色服务基础上，逐步形成集投、研、产品开发为一体的标准化中台服务机制，建设标准化服务与个性化服务并举的服务新模式。</w:t>
      </w:r>
    </w:p>
    <w:p>
      <w:pPr>
        <w:pStyle w:val="2"/>
        <w:spacing w:before="0" w:after="0" w:line="520" w:lineRule="exact"/>
      </w:pPr>
      <w:bookmarkStart w:id="16" w:name="_Toc38626394"/>
      <w:r>
        <w:rPr>
          <w:rFonts w:hint="eastAsia"/>
        </w:rPr>
        <w:t>4.4 利益相关者</w:t>
      </w:r>
      <w:bookmarkEnd w:id="16"/>
    </w:p>
    <w:p>
      <w:pPr>
        <w:spacing w:line="520" w:lineRule="exact"/>
        <w:ind w:firstLine="560" w:firstLineChars="200"/>
        <w:rPr>
          <w:rStyle w:val="34"/>
          <w:rFonts w:hint="eastAsia" w:ascii="Tahoma" w:hAnsi="Tahoma" w:cs="Tahoma"/>
          <w:sz w:val="28"/>
          <w:szCs w:val="28"/>
        </w:rPr>
      </w:pPr>
      <w:r>
        <w:rPr>
          <w:rStyle w:val="34"/>
          <w:rFonts w:hint="eastAsia" w:ascii="Tahoma" w:hAnsi="Tahoma" w:cs="Tahoma"/>
          <w:sz w:val="28"/>
          <w:szCs w:val="28"/>
        </w:rPr>
        <w:t>为了更好践行企业社会责任，更好地与各攸关方构建利益共生体，打造多赢共赢的企业经营生态局面，公司建立了多种常态化沟通渠道，建立起一套完备的利益对话机制。</w:t>
      </w:r>
    </w:p>
    <w:tbl>
      <w:tblPr>
        <w:tblStyle w:val="20"/>
        <w:tblW w:w="99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4289"/>
        <w:gridCol w:w="4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autoSpaceDE w:val="0"/>
              <w:autoSpaceDN w:val="0"/>
              <w:adjustRightInd w:val="0"/>
              <w:spacing w:line="480" w:lineRule="exact"/>
              <w:jc w:val="center"/>
              <w:rPr>
                <w:rFonts w:ascii="黑体" w:hAnsi="黑体" w:eastAsia="黑体" w:cs="宋体"/>
                <w:kern w:val="0"/>
                <w:sz w:val="24"/>
              </w:rPr>
            </w:pPr>
            <w:r>
              <w:rPr>
                <w:rFonts w:hint="eastAsia" w:ascii="黑体" w:hAnsi="黑体" w:eastAsia="黑体" w:cs="宋体"/>
                <w:kern w:val="0"/>
                <w:sz w:val="24"/>
              </w:rPr>
              <w:t>利益</w:t>
            </w:r>
          </w:p>
          <w:p>
            <w:pPr>
              <w:autoSpaceDE w:val="0"/>
              <w:autoSpaceDN w:val="0"/>
              <w:adjustRightInd w:val="0"/>
              <w:spacing w:line="480" w:lineRule="exact"/>
              <w:jc w:val="center"/>
              <w:rPr>
                <w:rFonts w:ascii="黑体" w:hAnsi="黑体" w:eastAsia="黑体" w:cs="宋体"/>
                <w:kern w:val="0"/>
                <w:sz w:val="24"/>
              </w:rPr>
            </w:pPr>
            <w:r>
              <w:rPr>
                <w:rFonts w:hint="eastAsia" w:ascii="黑体" w:hAnsi="黑体" w:eastAsia="黑体" w:cs="宋体"/>
                <w:kern w:val="0"/>
                <w:sz w:val="24"/>
              </w:rPr>
              <w:t>相关者</w:t>
            </w:r>
          </w:p>
        </w:tc>
        <w:tc>
          <w:tcPr>
            <w:tcW w:w="4289" w:type="dxa"/>
            <w:tcBorders>
              <w:bottom w:val="single" w:color="auto" w:sz="4" w:space="0"/>
            </w:tcBorders>
            <w:vAlign w:val="center"/>
          </w:tcPr>
          <w:p>
            <w:pPr>
              <w:autoSpaceDE w:val="0"/>
              <w:autoSpaceDN w:val="0"/>
              <w:adjustRightInd w:val="0"/>
              <w:jc w:val="center"/>
              <w:rPr>
                <w:rFonts w:ascii="黑体" w:hAnsi="黑体" w:eastAsia="黑体" w:cs="宋体"/>
                <w:kern w:val="0"/>
                <w:sz w:val="24"/>
              </w:rPr>
            </w:pPr>
            <w:r>
              <w:rPr>
                <w:rFonts w:hint="eastAsia" w:ascii="黑体" w:hAnsi="黑体" w:eastAsia="黑体" w:cs="宋体"/>
                <w:kern w:val="0"/>
                <w:sz w:val="24"/>
              </w:rPr>
              <w:t>参与方式</w:t>
            </w:r>
          </w:p>
        </w:tc>
        <w:tc>
          <w:tcPr>
            <w:tcW w:w="4508" w:type="dxa"/>
            <w:tcBorders>
              <w:bottom w:val="single" w:color="auto" w:sz="4" w:space="0"/>
            </w:tcBorders>
            <w:vAlign w:val="center"/>
          </w:tcPr>
          <w:p>
            <w:pPr>
              <w:autoSpaceDE w:val="0"/>
              <w:autoSpaceDN w:val="0"/>
              <w:adjustRightInd w:val="0"/>
              <w:jc w:val="center"/>
              <w:rPr>
                <w:rFonts w:ascii="黑体" w:hAnsi="黑体" w:eastAsia="黑体" w:cs="宋体"/>
                <w:kern w:val="0"/>
                <w:sz w:val="24"/>
              </w:rPr>
            </w:pPr>
            <w:r>
              <w:rPr>
                <w:rFonts w:hint="eastAsia" w:ascii="黑体" w:hAnsi="黑体" w:eastAsia="黑体" w:cs="宋体"/>
                <w:kern w:val="0"/>
                <w:sz w:val="24"/>
              </w:rPr>
              <w:t>实现效果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0" w:hRule="atLeast"/>
          <w:jc w:val="center"/>
        </w:trPr>
        <w:tc>
          <w:tcPr>
            <w:tcW w:w="1188" w:type="dxa"/>
            <w:vMerge w:val="restart"/>
            <w:vAlign w:val="center"/>
          </w:tcPr>
          <w:p>
            <w:pPr>
              <w:autoSpaceDE w:val="0"/>
              <w:autoSpaceDN w:val="0"/>
              <w:adjustRightInd w:val="0"/>
              <w:rPr>
                <w:rFonts w:ascii="黑体" w:hAnsi="黑体" w:eastAsia="黑体" w:cs="宋体"/>
                <w:kern w:val="0"/>
                <w:sz w:val="24"/>
              </w:rPr>
            </w:pPr>
            <w:r>
              <w:rPr>
                <w:rFonts w:hint="eastAsia" w:ascii="黑体" w:hAnsi="黑体" w:eastAsia="黑体" w:cs="宋体"/>
                <w:kern w:val="0"/>
                <w:sz w:val="24"/>
              </w:rPr>
              <w:t>客户</w:t>
            </w: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通过400全国统一客服热线、微信投资者教育专栏、客服QQ在线、微服务与客户沟通交流。及时发布最新交易规则，通知并在线上实时解答客户问题。</w:t>
            </w:r>
          </w:p>
        </w:tc>
        <w:tc>
          <w:tcPr>
            <w:tcW w:w="4508" w:type="dxa"/>
            <w:tcBorders>
              <w:bottom w:val="single" w:color="auto" w:sz="4" w:space="0"/>
            </w:tcBorders>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通过与客户紧密的沟通和交流，了解客户深层次的期望和需求，帮助公司做好客户服务工作。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0" w:hRule="atLeast"/>
          <w:jc w:val="center"/>
        </w:trPr>
        <w:tc>
          <w:tcPr>
            <w:tcW w:w="1188" w:type="dxa"/>
            <w:vMerge w:val="continue"/>
            <w:vAlign w:val="center"/>
          </w:tcPr>
          <w:p>
            <w:pPr>
              <w:autoSpaceDE w:val="0"/>
              <w:autoSpaceDN w:val="0"/>
              <w:adjustRightInd w:val="0"/>
              <w:rPr>
                <w:rFonts w:ascii="黑体" w:hAnsi="黑体" w:eastAsia="黑体" w:cs="宋体"/>
                <w:kern w:val="0"/>
                <w:sz w:val="24"/>
              </w:rPr>
            </w:pPr>
          </w:p>
        </w:tc>
        <w:tc>
          <w:tcPr>
            <w:tcW w:w="4289" w:type="dxa"/>
            <w:vAlign w:val="center"/>
          </w:tcPr>
          <w:p>
            <w:pPr>
              <w:autoSpaceDE w:val="0"/>
              <w:autoSpaceDN w:val="0"/>
              <w:adjustRightInd w:val="0"/>
              <w:spacing w:line="560" w:lineRule="exact"/>
              <w:rPr>
                <w:rFonts w:ascii="黑体" w:hAnsi="黑体" w:eastAsia="黑体" w:cs="宋体"/>
                <w:kern w:val="0"/>
                <w:sz w:val="24"/>
              </w:rPr>
            </w:pPr>
            <w:r>
              <w:rPr>
                <w:rFonts w:hint="eastAsia" w:ascii="黑体" w:hAnsi="黑体" w:eastAsia="黑体" w:cs="宋体"/>
                <w:kern w:val="0"/>
                <w:sz w:val="24"/>
              </w:rPr>
              <w:t>①协助上海同业工会、中期协、各个交易所完成各项线上线下投教活动；</w:t>
            </w:r>
          </w:p>
          <w:p>
            <w:pPr>
              <w:autoSpaceDE w:val="0"/>
              <w:autoSpaceDN w:val="0"/>
              <w:adjustRightInd w:val="0"/>
              <w:spacing w:line="560" w:lineRule="exact"/>
              <w:rPr>
                <w:rFonts w:ascii="黑体" w:hAnsi="黑体" w:eastAsia="黑体" w:cs="宋体"/>
                <w:kern w:val="0"/>
                <w:sz w:val="24"/>
              </w:rPr>
            </w:pPr>
            <w:r>
              <w:rPr>
                <w:rFonts w:hint="eastAsia" w:ascii="黑体" w:hAnsi="黑体" w:eastAsia="黑体" w:cs="宋体"/>
                <w:kern w:val="0"/>
                <w:sz w:val="24"/>
              </w:rPr>
              <w:t>②根据业务需求，采用定期、不定期等形式对客户进行回访；</w:t>
            </w:r>
          </w:p>
          <w:p>
            <w:pPr>
              <w:autoSpaceDE w:val="0"/>
              <w:autoSpaceDN w:val="0"/>
              <w:adjustRightInd w:val="0"/>
              <w:spacing w:line="560" w:lineRule="exact"/>
              <w:rPr>
                <w:rFonts w:ascii="黑体" w:hAnsi="黑体" w:eastAsia="黑体" w:cs="宋体"/>
                <w:kern w:val="0"/>
                <w:sz w:val="24"/>
              </w:rPr>
            </w:pPr>
            <w:r>
              <w:rPr>
                <w:rFonts w:hint="eastAsia" w:ascii="黑体" w:hAnsi="黑体" w:eastAsia="黑体" w:cs="宋体"/>
                <w:kern w:val="0"/>
                <w:sz w:val="24"/>
              </w:rPr>
              <w:t>③协助中国证监会和中国期货市场监控中心，对指定客户进行问卷调查。</w:t>
            </w:r>
          </w:p>
        </w:tc>
        <w:tc>
          <w:tcPr>
            <w:tcW w:w="4508" w:type="dxa"/>
            <w:tcBorders>
              <w:bottom w:val="single" w:color="auto" w:sz="4" w:space="0"/>
            </w:tcBorders>
            <w:vAlign w:val="center"/>
          </w:tcPr>
          <w:p>
            <w:pPr>
              <w:autoSpaceDE w:val="0"/>
              <w:autoSpaceDN w:val="0"/>
              <w:adjustRightInd w:val="0"/>
              <w:spacing w:line="560" w:lineRule="exact"/>
              <w:rPr>
                <w:rFonts w:ascii="黑体" w:hAnsi="黑体" w:eastAsia="黑体" w:cs="宋体"/>
                <w:kern w:val="0"/>
                <w:sz w:val="24"/>
              </w:rPr>
            </w:pPr>
            <w:r>
              <w:rPr>
                <w:rFonts w:hint="eastAsia" w:ascii="黑体" w:hAnsi="黑体" w:eastAsia="黑体" w:cs="宋体"/>
                <w:kern w:val="0"/>
                <w:sz w:val="24"/>
              </w:rPr>
              <w:t>通过多种形式的摸底调查，洞察客户需求，倾听市场心声，把握竞争优势，找出影响客户满意度的关键要素，制定公司的改进计划，并通过持续的监测和调整，不断提升客户的满意度和和品牌美誉度。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Merge w:val="continue"/>
            <w:vAlign w:val="center"/>
          </w:tcPr>
          <w:p>
            <w:pPr>
              <w:autoSpaceDE w:val="0"/>
              <w:autoSpaceDN w:val="0"/>
              <w:adjustRightInd w:val="0"/>
              <w:rPr>
                <w:rFonts w:ascii="黑体" w:hAnsi="黑体" w:eastAsia="黑体" w:cs="宋体"/>
                <w:kern w:val="0"/>
                <w:sz w:val="24"/>
              </w:rPr>
            </w:pP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短信平台、账户分析系统、微信平台、节日客户答谢活动以及400呼叫中心、客户分级服务计划正式启动。</w:t>
            </w:r>
          </w:p>
        </w:tc>
        <w:tc>
          <w:tcPr>
            <w:tcW w:w="4508" w:type="dxa"/>
            <w:tcBorders>
              <w:top w:val="single" w:color="auto" w:sz="4" w:space="0"/>
            </w:tcBorders>
            <w:vAlign w:val="center"/>
          </w:tcPr>
          <w:p>
            <w:pPr>
              <w:widowControl/>
              <w:spacing w:line="276" w:lineRule="auto"/>
              <w:rPr>
                <w:rFonts w:ascii="黑体" w:hAnsi="黑体" w:eastAsia="黑体" w:cs="宋体"/>
                <w:kern w:val="0"/>
                <w:sz w:val="24"/>
              </w:rPr>
            </w:pPr>
            <w:r>
              <w:rPr>
                <w:rFonts w:hint="eastAsia" w:ascii="黑体" w:hAnsi="黑体" w:eastAsia="黑体"/>
                <w:sz w:val="24"/>
              </w:rPr>
              <w:t>实现了客户关怀、信息发布、活动组织和报道为一体的一站式服务功能。更好地服务客户和回馈客户。为特定客户提供个性化服务是公司客户服务工作核心重点，公司已经启动针对不同类别客户，建立客户分类规范化、系统化、差异化的服务管理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jc w:val="center"/>
        </w:trPr>
        <w:tc>
          <w:tcPr>
            <w:tcW w:w="1188" w:type="dxa"/>
            <w:vMerge w:val="restart"/>
            <w:tcBorders>
              <w:top w:val="single" w:color="auto" w:sz="4" w:space="0"/>
            </w:tcBorders>
            <w:vAlign w:val="center"/>
          </w:tcPr>
          <w:p>
            <w:pPr>
              <w:autoSpaceDE w:val="0"/>
              <w:autoSpaceDN w:val="0"/>
              <w:adjustRightInd w:val="0"/>
              <w:rPr>
                <w:rFonts w:ascii="黑体" w:hAnsi="黑体" w:eastAsia="黑体" w:cs="宋体"/>
                <w:kern w:val="0"/>
                <w:sz w:val="24"/>
              </w:rPr>
            </w:pPr>
            <w:r>
              <w:rPr>
                <w:rFonts w:hint="eastAsia" w:ascii="黑体" w:hAnsi="黑体" w:eastAsia="黑体" w:cs="宋体"/>
                <w:kern w:val="0"/>
                <w:sz w:val="24"/>
              </w:rPr>
              <w:t>员工</w:t>
            </w:r>
          </w:p>
        </w:tc>
        <w:tc>
          <w:tcPr>
            <w:tcW w:w="4289" w:type="dxa"/>
            <w:tcBorders>
              <w:bottom w:val="single" w:color="auto" w:sz="4" w:space="0"/>
            </w:tcBorders>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全面推进展业系统，定期维护和升级OA办公协作平台：部门空间、工作协作区及公司邮箱、总经理信箱等。</w:t>
            </w:r>
          </w:p>
        </w:tc>
        <w:tc>
          <w:tcPr>
            <w:tcW w:w="4508" w:type="dxa"/>
            <w:vMerge w:val="restart"/>
            <w:vAlign w:val="center"/>
          </w:tcPr>
          <w:p>
            <w:pPr>
              <w:spacing w:line="480" w:lineRule="exact"/>
              <w:rPr>
                <w:rFonts w:ascii="黑体" w:hAnsi="黑体" w:eastAsia="黑体"/>
                <w:sz w:val="24"/>
              </w:rPr>
            </w:pPr>
            <w:r>
              <w:rPr>
                <w:rFonts w:hint="eastAsia" w:ascii="黑体" w:hAnsi="黑体" w:eastAsia="黑体" w:cs="宋体"/>
                <w:kern w:val="0"/>
                <w:sz w:val="24"/>
              </w:rPr>
              <w:t>为员工提供多种方式的工作沟通、交流渠道，通过沟通交流的结果，改善员工工作环境，提高员工的满意度和忠诚度。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9" w:hRule="atLeast"/>
          <w:jc w:val="center"/>
        </w:trPr>
        <w:tc>
          <w:tcPr>
            <w:tcW w:w="1188" w:type="dxa"/>
            <w:vMerge w:val="continue"/>
            <w:vAlign w:val="center"/>
          </w:tcPr>
          <w:p>
            <w:pPr>
              <w:autoSpaceDE w:val="0"/>
              <w:autoSpaceDN w:val="0"/>
              <w:adjustRightInd w:val="0"/>
              <w:rPr>
                <w:rFonts w:ascii="黑体" w:hAnsi="黑体" w:eastAsia="黑体" w:cs="宋体"/>
                <w:kern w:val="0"/>
                <w:sz w:val="24"/>
              </w:rPr>
            </w:pP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定期组织各种活动：体检、郊游、读书、健身、联谊、摄影、唱歌、看电影、拓展体验等。</w:t>
            </w:r>
          </w:p>
        </w:tc>
        <w:tc>
          <w:tcPr>
            <w:tcW w:w="4508" w:type="dxa"/>
            <w:vMerge w:val="continue"/>
            <w:vAlign w:val="center"/>
          </w:tcPr>
          <w:p>
            <w:pPr>
              <w:spacing w:line="480" w:lineRule="exact"/>
              <w:rPr>
                <w:rFonts w:ascii="黑体" w:hAnsi="黑体" w:eastAsia="黑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autoSpaceDE w:val="0"/>
              <w:autoSpaceDN w:val="0"/>
              <w:adjustRightInd w:val="0"/>
              <w:rPr>
                <w:rFonts w:ascii="黑体" w:hAnsi="黑体" w:eastAsia="黑体" w:cs="宋体"/>
                <w:kern w:val="0"/>
                <w:sz w:val="24"/>
              </w:rPr>
            </w:pPr>
            <w:r>
              <w:rPr>
                <w:rFonts w:hint="eastAsia" w:ascii="黑体" w:hAnsi="黑体" w:eastAsia="黑体" w:cs="宋体"/>
                <w:kern w:val="0"/>
                <w:sz w:val="24"/>
              </w:rPr>
              <w:t>股东</w:t>
            </w: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严格按照法律、法规和《期货公司管理办法》以及《公司章程》的规定，真实、准确、完整、及时地披露相关信息。</w:t>
            </w:r>
          </w:p>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通过当面交流、电话、短信、电子邮件等方式，确保与全体股东保持全方位沟通。</w:t>
            </w:r>
          </w:p>
        </w:tc>
        <w:tc>
          <w:tcPr>
            <w:tcW w:w="4508"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确保全体股东有平等的机会获取信息，与投资者保持良好的沟通，使投资者能充分了解公司经营。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Merge w:val="restart"/>
            <w:vAlign w:val="center"/>
          </w:tcPr>
          <w:p>
            <w:pPr>
              <w:autoSpaceDE w:val="0"/>
              <w:autoSpaceDN w:val="0"/>
              <w:adjustRightInd w:val="0"/>
              <w:rPr>
                <w:rFonts w:ascii="黑体" w:hAnsi="黑体" w:eastAsia="黑体" w:cs="宋体"/>
                <w:kern w:val="0"/>
                <w:sz w:val="24"/>
              </w:rPr>
            </w:pPr>
            <w:r>
              <w:rPr>
                <w:rFonts w:hint="eastAsia" w:ascii="黑体" w:hAnsi="黑体" w:eastAsia="黑体" w:cs="宋体"/>
                <w:kern w:val="0"/>
                <w:sz w:val="24"/>
              </w:rPr>
              <w:t>供应商</w:t>
            </w: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与上海期货信息技术有限公司、郑州易盛信息技术有限公司、大连飞创信息技术有限公司、中国金融期货信息技术有限公司、澎博财经、泛微软件、京东商城等供应商保持沟通。与关键供应商定期进行高层交流、互访学习，共同提升</w:t>
            </w:r>
            <w:r>
              <w:rPr>
                <w:rFonts w:hint="eastAsia" w:ascii="黑体" w:hAnsi="黑体" w:eastAsia="黑体" w:cs="Arial"/>
                <w:kern w:val="0"/>
                <w:sz w:val="24"/>
              </w:rPr>
              <w:t>服务</w:t>
            </w:r>
            <w:r>
              <w:rPr>
                <w:rFonts w:hint="eastAsia" w:ascii="黑体" w:hAnsi="黑体" w:eastAsia="黑体" w:cs="宋体"/>
                <w:kern w:val="0"/>
                <w:sz w:val="24"/>
              </w:rPr>
              <w:t>水平。</w:t>
            </w:r>
          </w:p>
        </w:tc>
        <w:tc>
          <w:tcPr>
            <w:tcW w:w="4508" w:type="dxa"/>
            <w:vMerge w:val="restart"/>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通过与不同供应商的沟通与交流，使供应商了解公司的需求，帮助供应商持续改善产品，降低供应链风险。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8" w:hRule="atLeast"/>
          <w:jc w:val="center"/>
        </w:trPr>
        <w:tc>
          <w:tcPr>
            <w:tcW w:w="1188" w:type="dxa"/>
            <w:vMerge w:val="continue"/>
            <w:vAlign w:val="center"/>
          </w:tcPr>
          <w:p>
            <w:pPr>
              <w:autoSpaceDE w:val="0"/>
              <w:autoSpaceDN w:val="0"/>
              <w:adjustRightInd w:val="0"/>
              <w:rPr>
                <w:rFonts w:ascii="黑体" w:hAnsi="黑体" w:eastAsia="黑体" w:cs="宋体"/>
                <w:kern w:val="0"/>
                <w:sz w:val="24"/>
              </w:rPr>
            </w:pPr>
          </w:p>
        </w:tc>
        <w:tc>
          <w:tcPr>
            <w:tcW w:w="4289" w:type="dxa"/>
            <w:vAlign w:val="center"/>
          </w:tcPr>
          <w:p>
            <w:pPr>
              <w:autoSpaceDE w:val="0"/>
              <w:autoSpaceDN w:val="0"/>
              <w:adjustRightInd w:val="0"/>
              <w:spacing w:line="500" w:lineRule="exact"/>
              <w:rPr>
                <w:rFonts w:ascii="黑体" w:hAnsi="黑体" w:eastAsia="黑体" w:cs="宋体"/>
                <w:kern w:val="0"/>
                <w:sz w:val="24"/>
              </w:rPr>
            </w:pPr>
            <w:r>
              <w:rPr>
                <w:rFonts w:hint="eastAsia" w:ascii="黑体" w:hAnsi="黑体" w:eastAsia="黑体" w:cs="宋体"/>
                <w:kern w:val="0"/>
                <w:sz w:val="24"/>
              </w:rPr>
              <w:t>供应商评估、审核。</w:t>
            </w:r>
          </w:p>
        </w:tc>
        <w:tc>
          <w:tcPr>
            <w:tcW w:w="4508" w:type="dxa"/>
            <w:vMerge w:val="continue"/>
            <w:vAlign w:val="center"/>
          </w:tcPr>
          <w:p>
            <w:pPr>
              <w:autoSpaceDE w:val="0"/>
              <w:autoSpaceDN w:val="0"/>
              <w:adjustRightInd w:val="0"/>
              <w:rPr>
                <w:rFonts w:ascii="黑体" w:hAnsi="黑体" w:eastAsia="黑体" w:cs="宋体"/>
                <w:kern w:val="0"/>
                <w:sz w:val="24"/>
              </w:rPr>
            </w:pPr>
          </w:p>
        </w:tc>
      </w:tr>
    </w:tbl>
    <w:p>
      <w:pPr>
        <w:pStyle w:val="19"/>
        <w:keepNext w:val="0"/>
        <w:keepLines w:val="0"/>
        <w:pageBreakBefore w:val="0"/>
        <w:kinsoku/>
        <w:wordWrap/>
        <w:overflowPunct/>
        <w:topLinePunct w:val="0"/>
        <w:autoSpaceDE/>
        <w:autoSpaceDN/>
        <w:bidi w:val="0"/>
        <w:adjustRightInd/>
        <w:snapToGrid/>
        <w:spacing w:before="0" w:after="0" w:line="520" w:lineRule="exact"/>
        <w:textAlignment w:val="auto"/>
      </w:pPr>
      <w:bookmarkStart w:id="17" w:name="_Toc38626395"/>
      <w:r>
        <w:rPr>
          <w:rFonts w:hint="eastAsia"/>
        </w:rPr>
        <w:t>5. 经济责任与业绩</w:t>
      </w:r>
      <w:bookmarkEnd w:id="17"/>
    </w:p>
    <w:p>
      <w:pPr>
        <w:pStyle w:val="2"/>
        <w:keepNext w:val="0"/>
        <w:keepLines w:val="0"/>
        <w:pageBreakBefore w:val="0"/>
        <w:kinsoku/>
        <w:wordWrap/>
        <w:overflowPunct/>
        <w:topLinePunct w:val="0"/>
        <w:autoSpaceDE/>
        <w:autoSpaceDN/>
        <w:bidi w:val="0"/>
        <w:adjustRightInd/>
        <w:snapToGrid/>
        <w:spacing w:before="0" w:after="0" w:line="520" w:lineRule="exact"/>
        <w:ind w:firstLine="560" w:firstLineChars="200"/>
        <w:textAlignment w:val="auto"/>
        <w:rPr>
          <w:rFonts w:hint="eastAsia" w:ascii="宋体" w:hAnsi="宋体"/>
          <w:color w:val="000000"/>
          <w:sz w:val="28"/>
          <w:szCs w:val="28"/>
        </w:rPr>
      </w:pPr>
      <w:bookmarkStart w:id="18" w:name="_Toc38626396"/>
      <w:r>
        <w:rPr>
          <w:rFonts w:hint="eastAsia" w:ascii="宋体" w:hAnsi="宋体"/>
          <w:color w:val="000000"/>
          <w:sz w:val="28"/>
          <w:szCs w:val="28"/>
        </w:rPr>
        <w:t>2020年，公司全面推动“五线四板块”投研业务体系发展，积极探索“1+6”增值业务模式，克服“二降”带来的经营压力，形成“主业稳步增长，风险业务和资管业务双轮驱动”的良好局面，继续紧跟行业头部企业发展步伐。</w:t>
      </w:r>
    </w:p>
    <w:p>
      <w:pPr>
        <w:pStyle w:val="2"/>
        <w:keepNext w:val="0"/>
        <w:keepLines w:val="0"/>
        <w:pageBreakBefore w:val="0"/>
        <w:kinsoku/>
        <w:wordWrap/>
        <w:overflowPunct/>
        <w:topLinePunct w:val="0"/>
        <w:autoSpaceDE/>
        <w:autoSpaceDN/>
        <w:bidi w:val="0"/>
        <w:adjustRightInd/>
        <w:snapToGrid/>
        <w:spacing w:before="0" w:after="0" w:line="520" w:lineRule="exact"/>
        <w:textAlignment w:val="auto"/>
      </w:pPr>
      <w:r>
        <w:rPr>
          <w:rFonts w:hint="eastAsia"/>
        </w:rPr>
        <w:t>5.1 公司经济发展大事记</w:t>
      </w:r>
      <w:bookmarkEnd w:id="18"/>
    </w:p>
    <w:p>
      <w:pPr>
        <w:keepNext w:val="0"/>
        <w:keepLines w:val="0"/>
        <w:pageBreakBefore w:val="0"/>
        <w:widowControl/>
        <w:kinsoku/>
        <w:wordWrap/>
        <w:overflowPunct/>
        <w:topLinePunct w:val="0"/>
        <w:autoSpaceDE/>
        <w:autoSpaceDN/>
        <w:bidi w:val="0"/>
        <w:adjustRightInd/>
        <w:snapToGrid/>
        <w:spacing w:line="520" w:lineRule="exact"/>
        <w:ind w:firstLine="555"/>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一、</w:t>
      </w:r>
      <w:r>
        <w:rPr>
          <w:rFonts w:hint="eastAsia" w:asciiTheme="minorEastAsia" w:hAnsiTheme="minorEastAsia" w:eastAsiaTheme="minorEastAsia" w:cstheme="minorEastAsia"/>
          <w:color w:val="000000"/>
          <w:sz w:val="28"/>
          <w:szCs w:val="28"/>
        </w:rPr>
        <w:t>互助共情、齐心抗疫</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公司卓有成效的抗疫复工工作和支援社会各界的义举得到证监会、中期协、上海市、静安区等相关方面一致好评，被树为区域企业抗疫典型。时任上海市委常委、组织部长、现任上海市委副书记于绍良，静安区政协主席丁宝定分别莅临公司走访指导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启动IPO</w:t>
      </w:r>
      <w:r>
        <w:rPr>
          <w:rFonts w:hint="eastAsia" w:asciiTheme="minorEastAsia" w:hAnsiTheme="minorEastAsia" w:eastAsiaTheme="minorEastAsia" w:cstheme="minorEastAsia"/>
          <w:sz w:val="28"/>
          <w:szCs w:val="28"/>
          <w:lang w:val="en-US" w:eastAsia="zh-CN"/>
        </w:rPr>
        <w:t>上市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2020年1月，公司启动IPO上市进程。4月16日，公司召开股份公司创立大会和第一次董事会、监事会；4月29日，经过工商和监管核准，公司正式更名为新湖期货股份有限公司，完成公司股改工作。5月21日公司进入IPO上市辅导期，年内公司开展了历史状况梳理、2018年1月至2020年11月财务资料审计、子公司全面尽职调查、董监高关联关系和流水调查等一系列工作。</w:t>
      </w:r>
    </w:p>
    <w:p>
      <w:pPr>
        <w:keepNext w:val="0"/>
        <w:keepLines w:val="0"/>
        <w:pageBreakBefore w:val="0"/>
        <w:kinsoku/>
        <w:wordWrap/>
        <w:overflowPunct/>
        <w:topLinePunct w:val="0"/>
        <w:autoSpaceDE/>
        <w:autoSpaceDN/>
        <w:bidi w:val="0"/>
        <w:adjustRightInd/>
        <w:snapToGrid/>
        <w:spacing w:line="520" w:lineRule="exact"/>
        <w:ind w:firstLine="645"/>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val="0"/>
          <w:bCs/>
          <w:sz w:val="28"/>
          <w:szCs w:val="28"/>
          <w:lang w:val="en-US" w:eastAsia="zh-CN"/>
        </w:rPr>
        <w:t>三、</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保</w:t>
      </w:r>
      <w:r>
        <w:rPr>
          <w:rFonts w:hint="eastAsia" w:asciiTheme="minorEastAsia" w:hAnsiTheme="minorEastAsia" w:eastAsiaTheme="minorEastAsia" w:cstheme="minorEastAsia"/>
          <w:bCs/>
          <w:sz w:val="28"/>
          <w:szCs w:val="28"/>
        </w:rPr>
        <w:t>险+期货”扶贫模式</w:t>
      </w:r>
      <w:r>
        <w:rPr>
          <w:rFonts w:hint="eastAsia" w:asciiTheme="minorEastAsia" w:hAnsiTheme="minorEastAsia" w:eastAsiaTheme="minorEastAsia" w:cstheme="minorEastAsia"/>
          <w:bCs/>
          <w:sz w:val="28"/>
          <w:szCs w:val="28"/>
          <w:lang w:val="en-US" w:eastAsia="zh-CN"/>
        </w:rPr>
        <w:t>继续走在行业前列</w:t>
      </w:r>
    </w:p>
    <w:p>
      <w:pPr>
        <w:keepNext w:val="0"/>
        <w:keepLines w:val="0"/>
        <w:pageBreakBefore w:val="0"/>
        <w:kinsoku/>
        <w:wordWrap/>
        <w:overflowPunct/>
        <w:topLinePunct w:val="0"/>
        <w:autoSpaceDE/>
        <w:autoSpaceDN/>
        <w:bidi w:val="0"/>
        <w:adjustRightInd/>
        <w:snapToGrid/>
        <w:spacing w:line="520" w:lineRule="exact"/>
        <w:ind w:firstLine="645"/>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2020年，公司新开展“保险+期货”项目16个，覆盖黑龙江、河北、河南等13个省市自治区，覆盖建档立卡贫困户1万多户，预计最终赔付额将达5000多万元。</w:t>
      </w:r>
      <w:r>
        <w:rPr>
          <w:rFonts w:hint="eastAsia" w:asciiTheme="minorEastAsia" w:hAnsiTheme="minorEastAsia" w:eastAsiaTheme="minorEastAsia" w:cstheme="minorEastAsia"/>
          <w:sz w:val="28"/>
          <w:szCs w:val="28"/>
          <w:lang w:val="en-US" w:eastAsia="zh-CN"/>
        </w:rPr>
        <w:t>其中，</w:t>
      </w:r>
      <w:r>
        <w:rPr>
          <w:rFonts w:hint="eastAsia" w:asciiTheme="minorEastAsia" w:hAnsiTheme="minorEastAsia" w:eastAsiaTheme="minorEastAsia" w:cstheme="minorEastAsia"/>
          <w:sz w:val="28"/>
          <w:szCs w:val="28"/>
        </w:rPr>
        <w:t>海南省白沙天然橡胶县域全覆盖项目、河南省太康县“农民收入保障计划”系列项目、云南会泽县生猪饲料成本项目，为三地摘去国家级贫困的帽子作出直接贡献。</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bCs/>
          <w:sz w:val="28"/>
          <w:szCs w:val="28"/>
        </w:rPr>
        <w:t>五线四板块研究体系发力，正在形成公司核心专业能力</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公司对中台部门的业务资源、研究模式、管理线条进行了全面统合梳理，开始建设“立足标准化，兼顾差异化和个性化需求”的投研业务服务体系，试行积分制考核特色方案，成效显著，产出了一系列</w:t>
      </w:r>
      <w:r>
        <w:rPr>
          <w:rFonts w:hint="eastAsia" w:asciiTheme="minorEastAsia" w:hAnsiTheme="minorEastAsia" w:eastAsiaTheme="minorEastAsia" w:cstheme="minorEastAsia"/>
          <w:bCs/>
          <w:sz w:val="28"/>
          <w:szCs w:val="28"/>
        </w:rPr>
        <w:t>优秀研究成果。2019年11月至</w:t>
      </w:r>
      <w:r>
        <w:rPr>
          <w:rFonts w:hint="eastAsia" w:asciiTheme="minorEastAsia" w:hAnsiTheme="minorEastAsia" w:eastAsiaTheme="minorEastAsia" w:cstheme="minorEastAsia"/>
          <w:bCs/>
          <w:sz w:val="28"/>
          <w:szCs w:val="28"/>
          <w:lang w:val="en-US" w:eastAsia="zh-CN"/>
        </w:rPr>
        <w:t>2020年12月</w:t>
      </w:r>
      <w:r>
        <w:rPr>
          <w:rFonts w:hint="eastAsia" w:asciiTheme="minorEastAsia" w:hAnsiTheme="minorEastAsia" w:eastAsiaTheme="minorEastAsia" w:cstheme="minorEastAsia"/>
          <w:bCs/>
          <w:sz w:val="28"/>
          <w:szCs w:val="28"/>
        </w:rPr>
        <w:t>，公司“五线四板块”策略研报行情研判胜率70%以上，对公司经纪业务开发、风险管理业务交易、资管自主策略发展形成强大支持。</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五、7000万元</w:t>
      </w:r>
      <w:r>
        <w:rPr>
          <w:rFonts w:hint="eastAsia" w:asciiTheme="minorEastAsia" w:hAnsiTheme="minorEastAsia" w:eastAsiaTheme="minorEastAsia" w:cstheme="minorEastAsia"/>
          <w:bCs/>
          <w:sz w:val="28"/>
          <w:szCs w:val="28"/>
        </w:rPr>
        <w:t>增资新湖瑞丰</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2020年4月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公司完成对上海新湖瑞丰金融服务有限公司7000万元增资事宜，</w:t>
      </w:r>
      <w:r>
        <w:rPr>
          <w:rFonts w:hint="eastAsia" w:asciiTheme="minorEastAsia" w:hAnsiTheme="minorEastAsia" w:eastAsiaTheme="minorEastAsia" w:cstheme="minorEastAsia"/>
          <w:sz w:val="28"/>
          <w:szCs w:val="28"/>
          <w:lang w:val="en-US" w:eastAsia="zh-CN"/>
        </w:rPr>
        <w:t>使</w:t>
      </w:r>
      <w:r>
        <w:rPr>
          <w:rFonts w:hint="eastAsia" w:asciiTheme="minorEastAsia" w:hAnsiTheme="minorEastAsia" w:eastAsiaTheme="minorEastAsia" w:cstheme="minorEastAsia"/>
          <w:sz w:val="28"/>
          <w:szCs w:val="28"/>
        </w:rPr>
        <w:t>其注册资本达32000万元，进一步增强其服务实体经济的能力。</w:t>
      </w:r>
    </w:p>
    <w:p>
      <w:pPr>
        <w:keepNext w:val="0"/>
        <w:keepLines w:val="0"/>
        <w:pageBreakBefore w:val="0"/>
        <w:widowControl/>
        <w:kinsoku/>
        <w:wordWrap/>
        <w:overflowPunct/>
        <w:topLinePunct w:val="0"/>
        <w:autoSpaceDE/>
        <w:autoSpaceDN/>
        <w:bidi w:val="0"/>
        <w:adjustRightInd/>
        <w:snapToGrid/>
        <w:spacing w:line="520" w:lineRule="exact"/>
        <w:ind w:firstLine="555"/>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Cs/>
          <w:color w:val="000000"/>
          <w:sz w:val="28"/>
          <w:szCs w:val="28"/>
          <w:lang w:val="en-US" w:eastAsia="zh-CN"/>
        </w:rPr>
        <w:t>六、</w:t>
      </w:r>
      <w:r>
        <w:rPr>
          <w:rFonts w:hint="eastAsia" w:asciiTheme="minorEastAsia" w:hAnsiTheme="minorEastAsia" w:eastAsiaTheme="minorEastAsia" w:cstheme="minorEastAsia"/>
          <w:bCs/>
          <w:color w:val="000000"/>
          <w:sz w:val="28"/>
          <w:szCs w:val="28"/>
        </w:rPr>
        <w:t>设立上海普陀分公司和保定分公司</w:t>
      </w:r>
    </w:p>
    <w:p>
      <w:pPr>
        <w:keepNext w:val="0"/>
        <w:keepLines w:val="0"/>
        <w:pageBreakBefore w:val="0"/>
        <w:widowControl/>
        <w:kinsoku/>
        <w:wordWrap/>
        <w:overflowPunct/>
        <w:topLinePunct w:val="0"/>
        <w:autoSpaceDE/>
        <w:autoSpaceDN/>
        <w:bidi w:val="0"/>
        <w:adjustRightInd/>
        <w:snapToGrid/>
        <w:spacing w:line="520" w:lineRule="exact"/>
        <w:ind w:firstLine="555"/>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为进一步利用上海区位优势和河北承接首都功能转移红利，2020年6月公司设立上海普陀分公司和保定分公司。至此，公司分支机构增长至28家，服务网络覆盖面进一步提升。</w:t>
      </w:r>
    </w:p>
    <w:p>
      <w:pPr>
        <w:keepNext w:val="0"/>
        <w:keepLines w:val="0"/>
        <w:pageBreakBefore w:val="0"/>
        <w:widowControl/>
        <w:kinsoku/>
        <w:wordWrap/>
        <w:overflowPunct/>
        <w:topLinePunct w:val="0"/>
        <w:autoSpaceDE/>
        <w:autoSpaceDN/>
        <w:bidi w:val="0"/>
        <w:adjustRightInd/>
        <w:snapToGrid/>
        <w:spacing w:line="520" w:lineRule="exact"/>
        <w:ind w:firstLine="555"/>
        <w:textAlignment w:val="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七、</w:t>
      </w:r>
      <w:r>
        <w:rPr>
          <w:rFonts w:hint="eastAsia" w:asciiTheme="minorEastAsia" w:hAnsiTheme="minorEastAsia" w:eastAsiaTheme="minorEastAsia" w:cstheme="minorEastAsia"/>
          <w:bCs/>
          <w:color w:val="000000"/>
          <w:sz w:val="28"/>
          <w:szCs w:val="28"/>
        </w:rPr>
        <w:t>新湖国际期货收购日本冈地香港公司客户资产</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为全面加强境外国际业务通道建设，公司于2020年11月收购日资企业“OKACHI”（日本冈地香港公司）业务并引进优秀管理人才，为拥抱“中国价格”时代打下良好基础。</w:t>
      </w:r>
    </w:p>
    <w:p>
      <w:pPr>
        <w:keepNext w:val="0"/>
        <w:keepLines w:val="0"/>
        <w:pageBreakBefore w:val="0"/>
        <w:widowControl/>
        <w:kinsoku/>
        <w:wordWrap/>
        <w:overflowPunct/>
        <w:topLinePunct w:val="0"/>
        <w:autoSpaceDE/>
        <w:autoSpaceDN/>
        <w:bidi w:val="0"/>
        <w:adjustRightInd/>
        <w:snapToGrid/>
        <w:spacing w:line="520" w:lineRule="exact"/>
        <w:ind w:firstLine="555"/>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八、</w:t>
      </w:r>
      <w:r>
        <w:rPr>
          <w:rFonts w:hint="eastAsia" w:asciiTheme="minorEastAsia" w:hAnsiTheme="minorEastAsia" w:eastAsiaTheme="minorEastAsia" w:cstheme="minorEastAsia"/>
          <w:color w:val="000000"/>
          <w:sz w:val="28"/>
          <w:szCs w:val="28"/>
        </w:rPr>
        <w:t>申城论剑实盘大赛品牌效应初显</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公司实盘大赛品牌价值初步彰显，已逐步成长为同类赛事前三品牌。大赛参赛人数达2781人，较去年同期增长400%；权益规模达13.6亿元，较去年同期增长400%。</w:t>
      </w:r>
    </w:p>
    <w:p>
      <w:pPr>
        <w:keepNext w:val="0"/>
        <w:keepLines w:val="0"/>
        <w:pageBreakBefore w:val="0"/>
        <w:widowControl/>
        <w:kinsoku/>
        <w:wordWrap/>
        <w:overflowPunct/>
        <w:topLinePunct w:val="0"/>
        <w:autoSpaceDE/>
        <w:autoSpaceDN/>
        <w:bidi w:val="0"/>
        <w:adjustRightInd/>
        <w:snapToGrid/>
        <w:spacing w:line="520" w:lineRule="exact"/>
        <w:ind w:firstLine="555"/>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九、</w:t>
      </w:r>
      <w:r>
        <w:rPr>
          <w:rFonts w:hint="eastAsia" w:asciiTheme="minorEastAsia" w:hAnsiTheme="minorEastAsia" w:eastAsiaTheme="minorEastAsia" w:cstheme="minorEastAsia"/>
          <w:color w:val="000000"/>
          <w:sz w:val="28"/>
          <w:szCs w:val="28"/>
        </w:rPr>
        <w:t>“两个一切”经营发展理念</w:t>
      </w:r>
      <w:r>
        <w:rPr>
          <w:rFonts w:hint="eastAsia" w:asciiTheme="minorEastAsia" w:hAnsiTheme="minorEastAsia" w:eastAsiaTheme="minorEastAsia" w:cstheme="minorEastAsia"/>
          <w:color w:val="000000"/>
          <w:sz w:val="28"/>
          <w:szCs w:val="28"/>
          <w:lang w:val="en-US" w:eastAsia="zh-CN"/>
        </w:rPr>
        <w:t>提出</w:t>
      </w:r>
    </w:p>
    <w:p>
      <w:pPr>
        <w:keepNext w:val="0"/>
        <w:keepLines w:val="0"/>
        <w:pageBreakBefore w:val="0"/>
        <w:widowControl/>
        <w:kinsoku/>
        <w:wordWrap/>
        <w:overflowPunct/>
        <w:topLinePunct w:val="0"/>
        <w:autoSpaceDE/>
        <w:autoSpaceDN/>
        <w:bidi w:val="0"/>
        <w:adjustRightInd/>
        <w:snapToGrid/>
        <w:spacing w:line="520" w:lineRule="exact"/>
        <w:ind w:firstLine="555" w:firstLineChars="0"/>
        <w:jc w:val="left"/>
        <w:textAlignment w:val="auto"/>
        <w:rPr>
          <w:rFonts w:ascii="宋体" w:hAnsi="宋体"/>
          <w:sz w:val="28"/>
          <w:szCs w:val="28"/>
        </w:rPr>
      </w:pPr>
      <w:r>
        <w:rPr>
          <w:rFonts w:hint="eastAsia" w:asciiTheme="minorEastAsia" w:hAnsiTheme="minorEastAsia" w:eastAsiaTheme="minorEastAsia" w:cstheme="minorEastAsia"/>
          <w:bCs/>
          <w:sz w:val="28"/>
          <w:szCs w:val="28"/>
        </w:rPr>
        <w:t>2020年4月公司提出“一切为了提升客户的盈利能力，一切为了优秀员工的持续成长”企业核心发展理念，号召全体员工以服务提升客户盈利为终极使命，围绕该目标搭建员工发展平台，促使优秀人才脱颖而出，快速成长，进而带动公司业务全方位地提升</w:t>
      </w:r>
      <w:r>
        <w:rPr>
          <w:rFonts w:hint="eastAsia" w:asciiTheme="minorEastAsia" w:hAnsiTheme="minorEastAsia" w:eastAsiaTheme="minorEastAsia" w:cstheme="minorEastAsia"/>
          <w:bCs/>
          <w:sz w:val="28"/>
          <w:szCs w:val="28"/>
          <w:lang w:eastAsia="zh-CN"/>
        </w:rPr>
        <w:t>。</w:t>
      </w:r>
    </w:p>
    <w:p>
      <w:pPr>
        <w:pStyle w:val="2"/>
        <w:keepNext w:val="0"/>
        <w:keepLines w:val="0"/>
        <w:pageBreakBefore w:val="0"/>
        <w:kinsoku/>
        <w:wordWrap/>
        <w:overflowPunct/>
        <w:topLinePunct w:val="0"/>
        <w:autoSpaceDE/>
        <w:autoSpaceDN/>
        <w:bidi w:val="0"/>
        <w:adjustRightInd/>
        <w:snapToGrid/>
        <w:spacing w:before="0" w:after="0" w:line="520" w:lineRule="exact"/>
        <w:textAlignment w:val="auto"/>
      </w:pPr>
      <w:bookmarkStart w:id="19" w:name="_Toc38626397"/>
      <w:r>
        <w:rPr>
          <w:rFonts w:hint="eastAsia"/>
        </w:rPr>
        <w:t>5.2 主要经济指标</w:t>
      </w:r>
      <w:bookmarkEnd w:id="19"/>
    </w:p>
    <w:p>
      <w:pPr>
        <w:pStyle w:val="2"/>
        <w:keepNext w:val="0"/>
        <w:keepLines w:val="0"/>
        <w:pageBreakBefore w:val="0"/>
        <w:kinsoku/>
        <w:wordWrap/>
        <w:overflowPunct/>
        <w:topLinePunct w:val="0"/>
        <w:autoSpaceDE/>
        <w:autoSpaceDN/>
        <w:bidi w:val="0"/>
        <w:adjustRightInd/>
        <w:snapToGrid/>
        <w:spacing w:before="0" w:after="0" w:line="520" w:lineRule="exact"/>
        <w:ind w:firstLine="560" w:firstLineChars="200"/>
        <w:textAlignment w:val="auto"/>
        <w:rPr>
          <w:rFonts w:hint="default" w:ascii="宋体" w:hAnsi="宋体" w:eastAsia="宋体"/>
          <w:color w:val="000000"/>
          <w:sz w:val="28"/>
          <w:szCs w:val="28"/>
          <w:lang w:val="en-US" w:eastAsia="zh-CN"/>
        </w:rPr>
      </w:pPr>
      <w:bookmarkStart w:id="20" w:name="_Toc38626398"/>
      <w:r>
        <w:rPr>
          <w:rFonts w:hint="eastAsia" w:ascii="宋体" w:hAnsi="宋体"/>
          <w:color w:val="000000"/>
          <w:sz w:val="28"/>
          <w:szCs w:val="28"/>
        </w:rPr>
        <w:t>2020年，公司全面推动“五线四板块”投研业务体系发展，积极探索“1+6”增值业务模式，克服“二降”带来的经营压力，形成“主业稳步增长，风险业务和资管业务双轮驱动”的良好局面，继续紧跟行业头部企业发展步伐</w:t>
      </w:r>
      <w:r>
        <w:rPr>
          <w:rFonts w:hint="eastAsia"/>
          <w:color w:val="000000"/>
          <w:sz w:val="28"/>
          <w:szCs w:val="28"/>
          <w:lang w:eastAsia="zh-CN"/>
        </w:rPr>
        <w:t>，</w:t>
      </w:r>
      <w:r>
        <w:rPr>
          <w:rFonts w:hint="eastAsia"/>
          <w:color w:val="000000"/>
          <w:sz w:val="28"/>
          <w:szCs w:val="28"/>
          <w:lang w:val="en-US" w:eastAsia="zh-CN"/>
        </w:rPr>
        <w:t>主要经营指标出现大幅增长。</w:t>
      </w:r>
    </w:p>
    <w:p>
      <w:pPr>
        <w:pStyle w:val="2"/>
        <w:keepNext w:val="0"/>
        <w:keepLines w:val="0"/>
        <w:pageBreakBefore w:val="0"/>
        <w:kinsoku/>
        <w:wordWrap/>
        <w:overflowPunct/>
        <w:topLinePunct w:val="0"/>
        <w:autoSpaceDE/>
        <w:autoSpaceDN/>
        <w:bidi w:val="0"/>
        <w:adjustRightInd/>
        <w:snapToGrid/>
        <w:spacing w:before="0" w:after="0" w:line="520" w:lineRule="exact"/>
        <w:textAlignment w:val="auto"/>
      </w:pPr>
      <w:r>
        <w:rPr>
          <w:rFonts w:hint="eastAsia"/>
        </w:rPr>
        <w:t>5.3 风险监管指标</w:t>
      </w:r>
      <w:bookmarkEnd w:id="20"/>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Style w:val="34"/>
          <w:rFonts w:ascii="宋体" w:hAnsi="宋体" w:cs="Tahoma"/>
          <w:sz w:val="28"/>
          <w:szCs w:val="28"/>
        </w:rPr>
      </w:pPr>
      <w:r>
        <w:rPr>
          <w:rStyle w:val="34"/>
          <w:rFonts w:hint="eastAsia" w:ascii="宋体" w:hAnsi="宋体" w:cs="Tahoma"/>
          <w:sz w:val="28"/>
          <w:szCs w:val="28"/>
        </w:rPr>
        <w:t>公司的净资本、净资本与风险资本准备总额的比例(净资本/风险资本准备总额)、净资本与净资产的比例、流动资产与流动负债的比例、负债与净资产的比例、结算准备金额等六项主要风险指标均远离监管预警标准，始终保持稳健的业务增长步伐。</w:t>
      </w:r>
    </w:p>
    <w:p>
      <w:pPr>
        <w:pStyle w:val="2"/>
        <w:keepNext w:val="0"/>
        <w:keepLines w:val="0"/>
        <w:pageBreakBefore w:val="0"/>
        <w:kinsoku/>
        <w:wordWrap/>
        <w:overflowPunct/>
        <w:topLinePunct w:val="0"/>
        <w:autoSpaceDE/>
        <w:autoSpaceDN/>
        <w:bidi w:val="0"/>
        <w:adjustRightInd/>
        <w:snapToGrid/>
        <w:spacing w:before="0" w:after="0" w:line="520" w:lineRule="exact"/>
        <w:textAlignment w:val="auto"/>
        <w:rPr>
          <w:highlight w:val="none"/>
        </w:rPr>
      </w:pPr>
      <w:bookmarkStart w:id="21" w:name="_Toc38626399"/>
      <w:r>
        <w:rPr>
          <w:rFonts w:hint="eastAsia"/>
          <w:highlight w:val="none"/>
        </w:rPr>
        <w:t>5.4 对利益相关者的利益分配</w:t>
      </w:r>
      <w:bookmarkEnd w:id="21"/>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highlight w:val="none"/>
        </w:rPr>
      </w:pPr>
      <w:r>
        <w:rPr>
          <w:rFonts w:hint="eastAsia" w:ascii="宋体" w:hAnsi="宋体"/>
          <w:sz w:val="28"/>
          <w:szCs w:val="28"/>
          <w:highlight w:val="none"/>
        </w:rPr>
        <w:t>公司</w:t>
      </w:r>
      <w:r>
        <w:rPr>
          <w:rFonts w:hint="eastAsia" w:ascii="宋体" w:hAnsi="宋体"/>
          <w:sz w:val="28"/>
          <w:szCs w:val="28"/>
          <w:highlight w:val="none"/>
          <w:lang w:val="en-US" w:eastAsia="zh-CN"/>
        </w:rPr>
        <w:t>2020</w:t>
      </w:r>
      <w:r>
        <w:rPr>
          <w:rFonts w:hint="eastAsia" w:ascii="宋体" w:hAnsi="宋体"/>
          <w:sz w:val="28"/>
          <w:szCs w:val="28"/>
          <w:highlight w:val="none"/>
        </w:rPr>
        <w:t>年度合计纳税总额4460.73余万元。</w:t>
      </w:r>
    </w:p>
    <w:p>
      <w:pPr>
        <w:pStyle w:val="2"/>
        <w:keepNext w:val="0"/>
        <w:keepLines w:val="0"/>
        <w:pageBreakBefore w:val="0"/>
        <w:kinsoku/>
        <w:wordWrap/>
        <w:overflowPunct/>
        <w:topLinePunct w:val="0"/>
        <w:autoSpaceDE/>
        <w:autoSpaceDN/>
        <w:bidi w:val="0"/>
        <w:adjustRightInd/>
        <w:snapToGrid/>
        <w:spacing w:before="0" w:after="0" w:line="520" w:lineRule="exact"/>
        <w:textAlignment w:val="auto"/>
        <w:rPr>
          <w:highlight w:val="none"/>
        </w:rPr>
      </w:pPr>
      <w:bookmarkStart w:id="22" w:name="_Toc38626400"/>
      <w:bookmarkStart w:id="23" w:name="_Toc512415939"/>
      <w:r>
        <w:rPr>
          <w:rFonts w:hint="eastAsia"/>
          <w:highlight w:val="none"/>
        </w:rPr>
        <w:t>5.5 固定资产投资及评估</w:t>
      </w:r>
      <w:bookmarkEnd w:id="22"/>
      <w:bookmarkEnd w:id="23"/>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Style w:val="34"/>
          <w:rFonts w:ascii="宋体" w:hAnsi="宋体" w:cs="Tahoma"/>
          <w:sz w:val="28"/>
          <w:szCs w:val="28"/>
          <w:highlight w:val="none"/>
        </w:rPr>
      </w:pPr>
      <w:bookmarkStart w:id="24" w:name="_Toc38626401"/>
      <w:r>
        <w:rPr>
          <w:rStyle w:val="34"/>
          <w:rFonts w:hint="eastAsia" w:ascii="宋体" w:hAnsi="宋体" w:cs="Tahoma"/>
          <w:sz w:val="28"/>
          <w:szCs w:val="28"/>
          <w:highlight w:val="none"/>
        </w:rPr>
        <w:t>公司</w:t>
      </w:r>
      <w:r>
        <w:rPr>
          <w:rStyle w:val="34"/>
          <w:rFonts w:hint="eastAsia" w:ascii="宋体" w:hAnsi="宋体" w:cs="Tahoma"/>
          <w:sz w:val="28"/>
          <w:szCs w:val="28"/>
          <w:highlight w:val="none"/>
          <w:lang w:val="en-US"/>
        </w:rPr>
        <w:t>2020</w:t>
      </w:r>
      <w:r>
        <w:rPr>
          <w:rStyle w:val="34"/>
          <w:rFonts w:hint="eastAsia" w:ascii="宋体" w:hAnsi="宋体" w:cs="Tahoma"/>
          <w:sz w:val="28"/>
          <w:szCs w:val="28"/>
          <w:highlight w:val="none"/>
        </w:rPr>
        <w:t>年度固定资产投入按原值计算</w:t>
      </w:r>
      <w:r>
        <w:rPr>
          <w:rFonts w:hint="default" w:ascii="宋体" w:hAnsi="宋体"/>
          <w:sz w:val="28"/>
          <w:szCs w:val="28"/>
          <w:highlight w:val="none"/>
          <w:lang w:val="en-US" w:eastAsia="zh-CN"/>
        </w:rPr>
        <w:t>12,756,856.33</w:t>
      </w:r>
      <w:r>
        <w:rPr>
          <w:rFonts w:hint="eastAsia" w:ascii="宋体" w:hAnsi="宋体"/>
          <w:sz w:val="28"/>
          <w:szCs w:val="28"/>
          <w:highlight w:val="none"/>
          <w:lang w:val="en-US" w:eastAsia="zh-CN"/>
        </w:rPr>
        <w:t xml:space="preserve"> </w:t>
      </w:r>
      <w:r>
        <w:rPr>
          <w:rStyle w:val="34"/>
          <w:rFonts w:hint="eastAsia" w:ascii="宋体" w:hAnsi="宋体" w:cs="Tahoma"/>
          <w:sz w:val="28"/>
          <w:szCs w:val="28"/>
          <w:highlight w:val="none"/>
        </w:rPr>
        <w:t>元，按折旧额及摊销额计算</w:t>
      </w:r>
      <w:r>
        <w:rPr>
          <w:rFonts w:hint="default" w:ascii="宋体" w:hAnsi="宋体"/>
          <w:sz w:val="28"/>
          <w:szCs w:val="28"/>
          <w:highlight w:val="none"/>
          <w:lang w:val="en-US" w:eastAsia="zh-CN"/>
        </w:rPr>
        <w:t>6,481,984.02</w:t>
      </w:r>
      <w:r>
        <w:rPr>
          <w:rStyle w:val="34"/>
          <w:rFonts w:hint="eastAsia" w:ascii="宋体" w:hAnsi="宋体" w:cs="Tahoma"/>
          <w:sz w:val="28"/>
          <w:szCs w:val="28"/>
          <w:highlight w:val="none"/>
        </w:rPr>
        <w:t>元，具体投资情况详见下表。由于公司投入的设备基本为服务器、电脑等电子类设备，期末不存在公允价值评估变动的情形。</w:t>
      </w:r>
    </w:p>
    <w:p>
      <w:pPr>
        <w:spacing w:line="560" w:lineRule="exact"/>
        <w:jc w:val="center"/>
        <w:rPr>
          <w:rFonts w:hint="eastAsia"/>
          <w:b/>
          <w:sz w:val="28"/>
          <w:szCs w:val="28"/>
          <w:highlight w:val="none"/>
        </w:rPr>
      </w:pPr>
      <w:r>
        <w:rPr>
          <w:rFonts w:hint="eastAsia"/>
          <w:b/>
          <w:sz w:val="28"/>
          <w:szCs w:val="28"/>
          <w:highlight w:val="none"/>
          <w:lang w:val="en-US" w:eastAsia="zh-CN"/>
        </w:rPr>
        <w:t>2020</w:t>
      </w:r>
      <w:r>
        <w:rPr>
          <w:rFonts w:hint="eastAsia"/>
          <w:b/>
          <w:sz w:val="28"/>
          <w:szCs w:val="28"/>
          <w:highlight w:val="none"/>
        </w:rPr>
        <w:t>年固定资产等投资情况表</w:t>
      </w:r>
    </w:p>
    <w:tbl>
      <w:tblPr>
        <w:tblStyle w:val="20"/>
        <w:tblW w:w="6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41"/>
        <w:gridCol w:w="2280"/>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2020年度</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 xml:space="preserve"> 按原值 </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 xml:space="preserve"> 按折旧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val="0"/>
                <w:bCs w:val="0"/>
                <w:i w:val="0"/>
                <w:color w:val="000000"/>
                <w:kern w:val="0"/>
                <w:sz w:val="24"/>
                <w:szCs w:val="24"/>
                <w:highlight w:val="none"/>
                <w:u w:val="none"/>
                <w:lang w:val="en-US" w:eastAsia="zh-CN" w:bidi="ar"/>
              </w:rPr>
            </w:pPr>
            <w:r>
              <w:rPr>
                <w:rFonts w:hint="eastAsia" w:ascii="黑体" w:hAnsi="宋体" w:eastAsia="黑体" w:cs="黑体"/>
                <w:b w:val="0"/>
                <w:bCs w:val="0"/>
                <w:i w:val="0"/>
                <w:color w:val="000000"/>
                <w:kern w:val="0"/>
                <w:sz w:val="24"/>
                <w:szCs w:val="24"/>
                <w:highlight w:val="none"/>
                <w:u w:val="none"/>
                <w:lang w:val="en-US" w:eastAsia="zh-CN" w:bidi="ar"/>
              </w:rPr>
              <w:t>设备购入</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12,756,856.33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val="0"/>
                <w:bCs w:val="0"/>
                <w:i w:val="0"/>
                <w:color w:val="000000"/>
                <w:kern w:val="0"/>
                <w:sz w:val="24"/>
                <w:szCs w:val="24"/>
                <w:highlight w:val="none"/>
                <w:u w:val="none"/>
                <w:lang w:val="en-US" w:eastAsia="zh-CN" w:bidi="ar"/>
              </w:rPr>
            </w:pPr>
            <w:r>
              <w:rPr>
                <w:rFonts w:hint="eastAsia" w:ascii="黑体" w:hAnsi="宋体" w:eastAsia="黑体" w:cs="黑体"/>
                <w:b w:val="0"/>
                <w:bCs w:val="0"/>
                <w:i w:val="0"/>
                <w:color w:val="000000"/>
                <w:kern w:val="0"/>
                <w:sz w:val="24"/>
                <w:szCs w:val="24"/>
                <w:highlight w:val="none"/>
                <w:u w:val="none"/>
                <w:lang w:val="en-US" w:eastAsia="zh-CN" w:bidi="ar"/>
              </w:rPr>
              <w:t>设备折旧</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highlight w:val="none"/>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6,481,984.02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val="0"/>
                <w:bCs w:val="0"/>
                <w:i w:val="0"/>
                <w:color w:val="000000"/>
                <w:kern w:val="0"/>
                <w:sz w:val="24"/>
                <w:szCs w:val="24"/>
                <w:highlight w:val="none"/>
                <w:u w:val="none"/>
                <w:lang w:val="en-US" w:eastAsia="zh-CN" w:bidi="ar"/>
              </w:rPr>
            </w:pPr>
            <w:r>
              <w:rPr>
                <w:rFonts w:hint="eastAsia" w:ascii="黑体" w:hAnsi="宋体" w:eastAsia="黑体" w:cs="黑体"/>
                <w:b w:val="0"/>
                <w:bCs w:val="0"/>
                <w:i w:val="0"/>
                <w:color w:val="000000"/>
                <w:kern w:val="0"/>
                <w:sz w:val="24"/>
                <w:szCs w:val="24"/>
                <w:highlight w:val="none"/>
                <w:u w:val="none"/>
                <w:lang w:val="en-US" w:eastAsia="zh-CN" w:bidi="ar"/>
              </w:rPr>
              <w:t>电子设备运转费</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23,154,836.08</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23,154,836.08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val="0"/>
                <w:bCs w:val="0"/>
                <w:i w:val="0"/>
                <w:color w:val="000000"/>
                <w:kern w:val="0"/>
                <w:sz w:val="24"/>
                <w:szCs w:val="24"/>
                <w:highlight w:val="none"/>
                <w:u w:val="none"/>
                <w:lang w:val="en-US" w:eastAsia="zh-CN" w:bidi="ar"/>
              </w:rPr>
            </w:pPr>
            <w:r>
              <w:rPr>
                <w:rFonts w:hint="eastAsia" w:ascii="黑体" w:hAnsi="宋体" w:eastAsia="黑体" w:cs="黑体"/>
                <w:b w:val="0"/>
                <w:bCs w:val="0"/>
                <w:i w:val="0"/>
                <w:color w:val="000000"/>
                <w:kern w:val="0"/>
                <w:sz w:val="24"/>
                <w:szCs w:val="24"/>
                <w:highlight w:val="none"/>
                <w:u w:val="none"/>
                <w:lang w:val="en-US" w:eastAsia="zh-CN" w:bidi="ar"/>
              </w:rPr>
              <w:t>线路费</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9,713,406.92</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9,713,406.92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val="0"/>
                <w:bCs w:val="0"/>
                <w:i w:val="0"/>
                <w:color w:val="000000"/>
                <w:kern w:val="0"/>
                <w:sz w:val="24"/>
                <w:szCs w:val="24"/>
                <w:highlight w:val="none"/>
                <w:u w:val="none"/>
                <w:lang w:val="en-US" w:eastAsia="zh-CN" w:bidi="ar"/>
              </w:rPr>
            </w:pPr>
            <w:r>
              <w:rPr>
                <w:rFonts w:hint="eastAsia" w:ascii="黑体" w:hAnsi="宋体" w:eastAsia="黑体" w:cs="黑体"/>
                <w:b w:val="0"/>
                <w:bCs w:val="0"/>
                <w:i w:val="0"/>
                <w:color w:val="000000"/>
                <w:kern w:val="0"/>
                <w:sz w:val="24"/>
                <w:szCs w:val="24"/>
                <w:highlight w:val="none"/>
                <w:u w:val="none"/>
                <w:lang w:val="en-US" w:eastAsia="zh-CN" w:bidi="ar"/>
              </w:rPr>
              <w:t>无形资产购入</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1,555,783.68</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val="0"/>
                <w:bCs w:val="0"/>
                <w:i w:val="0"/>
                <w:color w:val="000000"/>
                <w:kern w:val="0"/>
                <w:sz w:val="24"/>
                <w:szCs w:val="24"/>
                <w:highlight w:val="none"/>
                <w:u w:val="none"/>
                <w:lang w:val="en-US" w:eastAsia="zh-CN" w:bidi="ar"/>
              </w:rPr>
            </w:pPr>
            <w:r>
              <w:rPr>
                <w:rFonts w:hint="eastAsia" w:ascii="黑体" w:hAnsi="宋体" w:eastAsia="黑体" w:cs="黑体"/>
                <w:b w:val="0"/>
                <w:bCs w:val="0"/>
                <w:i w:val="0"/>
                <w:color w:val="000000"/>
                <w:kern w:val="0"/>
                <w:sz w:val="24"/>
                <w:szCs w:val="24"/>
                <w:highlight w:val="none"/>
                <w:u w:val="none"/>
                <w:lang w:val="en-US" w:eastAsia="zh-CN" w:bidi="ar"/>
              </w:rPr>
              <w:t>无形资产摊销</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highlight w:val="none"/>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941,144.78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val="0"/>
                <w:bCs w:val="0"/>
                <w:i w:val="0"/>
                <w:color w:val="000000"/>
                <w:kern w:val="0"/>
                <w:sz w:val="24"/>
                <w:szCs w:val="24"/>
                <w:highlight w:val="none"/>
                <w:u w:val="none"/>
                <w:lang w:val="en-US" w:eastAsia="zh-CN" w:bidi="ar"/>
              </w:rPr>
            </w:pPr>
            <w:r>
              <w:rPr>
                <w:rFonts w:hint="eastAsia" w:ascii="黑体" w:hAnsi="宋体" w:eastAsia="黑体" w:cs="黑体"/>
                <w:b w:val="0"/>
                <w:bCs w:val="0"/>
                <w:i w:val="0"/>
                <w:color w:val="000000"/>
                <w:kern w:val="0"/>
                <w:sz w:val="24"/>
                <w:szCs w:val="24"/>
                <w:highlight w:val="none"/>
                <w:u w:val="none"/>
                <w:lang w:val="en-US" w:eastAsia="zh-CN" w:bidi="ar"/>
              </w:rPr>
              <w:t>合计</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47,180,883.01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40,291,371.80</w:t>
            </w:r>
          </w:p>
        </w:tc>
      </w:tr>
    </w:tbl>
    <w:p>
      <w:pPr>
        <w:pStyle w:val="19"/>
        <w:keepNext w:val="0"/>
        <w:keepLines w:val="0"/>
        <w:pageBreakBefore w:val="0"/>
        <w:kinsoku/>
        <w:wordWrap/>
        <w:overflowPunct/>
        <w:topLinePunct w:val="0"/>
        <w:autoSpaceDE/>
        <w:autoSpaceDN/>
        <w:bidi w:val="0"/>
        <w:adjustRightInd/>
        <w:snapToGrid/>
        <w:spacing w:before="0" w:after="0" w:line="520" w:lineRule="exact"/>
      </w:pPr>
      <w:r>
        <w:rPr>
          <w:rFonts w:hint="eastAsia"/>
        </w:rPr>
        <w:t>6. 社会责任与业绩</w:t>
      </w:r>
      <w:bookmarkEnd w:id="24"/>
    </w:p>
    <w:p>
      <w:pPr>
        <w:pStyle w:val="2"/>
        <w:keepNext w:val="0"/>
        <w:keepLines w:val="0"/>
        <w:pageBreakBefore w:val="0"/>
        <w:kinsoku/>
        <w:wordWrap/>
        <w:overflowPunct/>
        <w:topLinePunct w:val="0"/>
        <w:autoSpaceDE/>
        <w:autoSpaceDN/>
        <w:bidi w:val="0"/>
        <w:adjustRightInd/>
        <w:snapToGrid/>
        <w:spacing w:before="0" w:after="0" w:line="520" w:lineRule="exact"/>
        <w:rPr>
          <w:highlight w:val="none"/>
        </w:rPr>
      </w:pPr>
      <w:bookmarkStart w:id="25" w:name="_Toc38626402"/>
      <w:r>
        <w:rPr>
          <w:rFonts w:hint="eastAsia"/>
          <w:highlight w:val="none"/>
        </w:rPr>
        <w:t>6.1公司社会责任大事记</w:t>
      </w:r>
      <w:bookmarkEnd w:id="25"/>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sz w:val="28"/>
          <w:szCs w:val="28"/>
          <w:highlight w:val="none"/>
        </w:rPr>
      </w:pPr>
      <w:bookmarkStart w:id="26" w:name="_Toc512350874"/>
      <w:r>
        <w:rPr>
          <w:rFonts w:hint="eastAsia" w:ascii="宋体" w:hAnsi="宋体" w:cs="宋体"/>
          <w:sz w:val="28"/>
          <w:szCs w:val="28"/>
          <w:highlight w:val="none"/>
        </w:rPr>
        <w:t>2009年，新湖期货研究所成立，为公司参与国家扶贫工作、“三农”问题奠定了厚实基础。</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sz w:val="28"/>
          <w:szCs w:val="28"/>
          <w:highlight w:val="none"/>
        </w:rPr>
      </w:pPr>
      <w:r>
        <w:rPr>
          <w:rFonts w:hint="eastAsia" w:ascii="宋体" w:hAnsi="宋体" w:cs="宋体"/>
          <w:sz w:val="28"/>
          <w:szCs w:val="28"/>
          <w:highlight w:val="none"/>
        </w:rPr>
        <w:t>2011年12月，研究所在“2011年大连商品交易所十大期货研发团队”评选活动中，荣获“2011年最具成长性农产品期货研发团队”和 “2011年最具成长性能源化工产品期货研发团队”两个称号，公司对实体经济和农产品期货品种的开发得到社会广泛认可，日益成为实体经济和农产品企业的好帮手、好伙伴。</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sz w:val="28"/>
          <w:szCs w:val="28"/>
          <w:highlight w:val="none"/>
        </w:rPr>
      </w:pPr>
      <w:r>
        <w:rPr>
          <w:rFonts w:hint="eastAsia" w:ascii="宋体" w:hAnsi="宋体" w:cs="宋体"/>
          <w:sz w:val="28"/>
          <w:szCs w:val="28"/>
          <w:highlight w:val="none"/>
        </w:rPr>
        <w:t>2012年，公司研究所荣获大连商品交易所“十大农产品研发团队”称号，彰显公司在农产品研究方面的实力。</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cs="宋体"/>
          <w:sz w:val="28"/>
          <w:szCs w:val="28"/>
          <w:highlight w:val="none"/>
        </w:rPr>
        <w:t>2014年，公司全资子公司——上海新湖瑞丰金融服务有限公司用“二次点价、复制看涨期权”创新操作模式，为子公司服务“三农”探索了一条新路子。该项目获得2014年度“上海市金融创新奖 ”，并得到中国证监会的批示赞许。</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cs="仿宋"/>
          <w:sz w:val="28"/>
          <w:szCs w:val="28"/>
          <w:highlight w:val="none"/>
        </w:rPr>
        <w:t>2014年底，公司建立新湖期货有限公司工会。</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highlight w:val="none"/>
        </w:rPr>
      </w:pPr>
      <w:r>
        <w:rPr>
          <w:rFonts w:ascii="宋体" w:hAnsi="宋体"/>
          <w:sz w:val="28"/>
          <w:szCs w:val="28"/>
          <w:highlight w:val="none"/>
        </w:rPr>
        <w:t>2015年度</w:t>
      </w:r>
      <w:r>
        <w:rPr>
          <w:rFonts w:hint="eastAsia" w:ascii="宋体" w:hAnsi="宋体"/>
          <w:sz w:val="28"/>
          <w:szCs w:val="28"/>
          <w:highlight w:val="none"/>
        </w:rPr>
        <w:t>，</w:t>
      </w:r>
      <w:r>
        <w:rPr>
          <w:rFonts w:ascii="宋体" w:hAnsi="宋体"/>
          <w:sz w:val="28"/>
          <w:szCs w:val="28"/>
          <w:highlight w:val="none"/>
        </w:rPr>
        <w:t>“上海市金融创新奖”评选活动中，新湖瑞丰连续第2年获得“上海金融创新奖”。新湖瑞丰服务实体经济、创新金融业务的能力得到了较高的肯定和鼓励。</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highlight w:val="none"/>
        </w:rPr>
      </w:pPr>
      <w:r>
        <w:rPr>
          <w:rFonts w:hint="eastAsia" w:ascii="宋体" w:hAnsi="宋体" w:cs="仿宋"/>
          <w:sz w:val="28"/>
          <w:szCs w:val="28"/>
          <w:highlight w:val="none"/>
        </w:rPr>
        <w:t>2016年，</w:t>
      </w:r>
      <w:r>
        <w:rPr>
          <w:rFonts w:hint="eastAsia" w:ascii="宋体" w:hAnsi="宋体"/>
          <w:sz w:val="28"/>
          <w:szCs w:val="28"/>
          <w:highlight w:val="none"/>
        </w:rPr>
        <w:t>公司和安徽省太湖县签署《扶贫服务备忘录》“结对帮扶”，公司开始整合各方面资源，为太湖县的工、农产业提供专业化服务。</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sz w:val="28"/>
          <w:szCs w:val="28"/>
          <w:highlight w:val="none"/>
        </w:rPr>
        <w:t>2017年，公司运营的国内首单天然橡胶“保险+期货”项目完成理赔——白沙县天然橡胶“保险+期货+扶贫”项目。</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cs="仿宋"/>
          <w:sz w:val="28"/>
          <w:szCs w:val="28"/>
          <w:highlight w:val="none"/>
        </w:rPr>
        <w:t>2018年1月12日，公司荣获上海期货交易所2017年度天然橡胶“保险+期货”精准扶贫试点项目“优胜奖”。</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cs="仿宋"/>
          <w:sz w:val="28"/>
          <w:szCs w:val="28"/>
          <w:highlight w:val="none"/>
        </w:rPr>
        <w:t>2018年4月，公司荣获上海市总工会、上海市人力资源和社会保障局颁发的“上海市五一劳动奖状”。</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cs="仿宋"/>
          <w:sz w:val="28"/>
          <w:szCs w:val="28"/>
          <w:highlight w:val="none"/>
        </w:rPr>
        <w:t>2018年6月，公司在“2017-2018年度期货公司扶贫工作情况考评”中取得了第二名的好成绩。</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cs="仿宋"/>
          <w:sz w:val="28"/>
          <w:szCs w:val="28"/>
          <w:highlight w:val="none"/>
        </w:rPr>
        <w:t>2018年9月，公司工会召开第二届代表大会，完成各项换届工作。</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cs="仿宋"/>
          <w:sz w:val="28"/>
          <w:szCs w:val="28"/>
          <w:highlight w:val="none"/>
        </w:rPr>
        <w:t>2019年1月，公司在陕西省延长县“‘长’‘期’再携手”精准帮扶活动，捐赠20万元。</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cs="仿宋"/>
          <w:sz w:val="28"/>
          <w:szCs w:val="28"/>
          <w:highlight w:val="none"/>
        </w:rPr>
        <w:t>2019年3月，公司向青海省玛沁县建档立卡贫困户捐赠5万元。</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仿宋"/>
          <w:sz w:val="28"/>
          <w:szCs w:val="28"/>
          <w:highlight w:val="none"/>
        </w:rPr>
      </w:pPr>
      <w:r>
        <w:rPr>
          <w:rFonts w:hint="eastAsia" w:ascii="宋体" w:hAnsi="宋体" w:cs="仿宋"/>
          <w:sz w:val="28"/>
          <w:szCs w:val="28"/>
          <w:highlight w:val="none"/>
        </w:rPr>
        <w:t>2019年5月，公司向安徽省太湖县百里镇东口村小龙虾水稻共养项目捐赠20万元。</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highlight w:val="none"/>
        </w:rPr>
      </w:pPr>
      <w:r>
        <w:rPr>
          <w:rFonts w:hint="eastAsia" w:ascii="宋体" w:hAnsi="宋体"/>
          <w:sz w:val="28"/>
          <w:szCs w:val="28"/>
          <w:highlight w:val="none"/>
        </w:rPr>
        <w:t>2019年7月，获中国期货业协会年度期货公司扶贫工作情况考评第三名。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bCs/>
          <w:color w:val="000000"/>
          <w:kern w:val="0"/>
          <w:sz w:val="28"/>
          <w:szCs w:val="28"/>
          <w:highlight w:val="none"/>
        </w:rPr>
      </w:pPr>
      <w:r>
        <w:rPr>
          <w:rFonts w:hint="eastAsia" w:ascii="宋体" w:hAnsi="宋体" w:cs="宋体"/>
          <w:bCs/>
          <w:color w:val="000000"/>
          <w:kern w:val="0"/>
          <w:sz w:val="28"/>
          <w:szCs w:val="28"/>
          <w:highlight w:val="none"/>
        </w:rPr>
        <w:t>2019年11月，荣获太湖县人民政府颁发的“结对帮扶荣誉证书”和“扶贫认购荣誉证书”。</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bCs/>
          <w:color w:val="000000"/>
          <w:kern w:val="0"/>
          <w:sz w:val="28"/>
          <w:szCs w:val="28"/>
          <w:highlight w:val="none"/>
        </w:rPr>
      </w:pPr>
      <w:r>
        <w:rPr>
          <w:rFonts w:hint="eastAsia" w:ascii="宋体" w:hAnsi="宋体" w:cs="宋体"/>
          <w:bCs/>
          <w:color w:val="000000"/>
          <w:kern w:val="0"/>
          <w:sz w:val="28"/>
          <w:szCs w:val="28"/>
          <w:highlight w:val="none"/>
        </w:rPr>
        <w:t>2019年11月，荣获人民日报</w:t>
      </w:r>
      <w:r>
        <w:rPr>
          <w:rFonts w:hint="eastAsia" w:ascii="宋体" w:hAnsi="宋体"/>
          <w:sz w:val="28"/>
          <w:szCs w:val="28"/>
          <w:highlight w:val="none"/>
        </w:rPr>
        <w:t>暨</w:t>
      </w:r>
      <w:r>
        <w:rPr>
          <w:rFonts w:hint="eastAsia" w:ascii="宋体" w:hAnsi="宋体" w:cs="宋体"/>
          <w:bCs/>
          <w:color w:val="000000"/>
          <w:kern w:val="0"/>
          <w:sz w:val="28"/>
          <w:szCs w:val="28"/>
          <w:highlight w:val="none"/>
        </w:rPr>
        <w:t>国际金融报颁发的“2019年度中国精准扶贫企业”。</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bCs/>
          <w:color w:val="000000"/>
          <w:kern w:val="0"/>
          <w:sz w:val="28"/>
          <w:szCs w:val="28"/>
          <w:highlight w:val="none"/>
        </w:rPr>
      </w:pPr>
      <w:r>
        <w:rPr>
          <w:rFonts w:hint="eastAsia" w:ascii="宋体" w:hAnsi="宋体" w:cs="宋体"/>
          <w:bCs/>
          <w:color w:val="000000"/>
          <w:kern w:val="0"/>
          <w:sz w:val="28"/>
          <w:szCs w:val="28"/>
          <w:highlight w:val="none"/>
        </w:rPr>
        <w:t>2019年12月，荣获上海市静安区政府颁发的 2018-2019年度“静安区慈善之星”奖。</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bCs/>
          <w:color w:val="000000"/>
          <w:kern w:val="0"/>
          <w:sz w:val="28"/>
          <w:szCs w:val="28"/>
          <w:highlight w:val="none"/>
        </w:rPr>
      </w:pPr>
      <w:r>
        <w:rPr>
          <w:rFonts w:hint="eastAsia" w:ascii="宋体" w:hAnsi="宋体" w:cs="宋体"/>
          <w:bCs/>
          <w:color w:val="000000"/>
          <w:kern w:val="0"/>
          <w:sz w:val="28"/>
          <w:szCs w:val="28"/>
          <w:highlight w:val="none"/>
        </w:rPr>
        <w:t>2019年12月，荣获第17届中国财经风云榜“2019年度期货业扶贫奖”。</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cs="宋体"/>
          <w:bCs/>
          <w:color w:val="000000"/>
          <w:kern w:val="0"/>
          <w:sz w:val="28"/>
          <w:szCs w:val="28"/>
          <w:highlight w:val="none"/>
        </w:rPr>
      </w:pPr>
      <w:r>
        <w:rPr>
          <w:rFonts w:hint="eastAsia" w:ascii="宋体" w:hAnsi="宋体" w:cs="宋体"/>
          <w:bCs/>
          <w:color w:val="000000"/>
          <w:kern w:val="0"/>
          <w:sz w:val="28"/>
          <w:szCs w:val="28"/>
          <w:highlight w:val="none"/>
        </w:rPr>
        <w:t>2019年12月，在</w:t>
      </w:r>
      <w:r>
        <w:rPr>
          <w:rFonts w:hint="eastAsia" w:ascii="宋体" w:hAnsi="宋体"/>
          <w:sz w:val="28"/>
          <w:szCs w:val="28"/>
          <w:highlight w:val="none"/>
        </w:rPr>
        <w:t>第十二届期货日报&amp;证券时报“中国最佳期货经营机构暨最佳期货分析师评选”中，荣获“</w:t>
      </w:r>
      <w:r>
        <w:rPr>
          <w:rFonts w:hint="eastAsia" w:ascii="宋体" w:hAnsi="宋体" w:cs="宋体"/>
          <w:bCs/>
          <w:color w:val="000000"/>
          <w:kern w:val="0"/>
          <w:sz w:val="28"/>
          <w:szCs w:val="28"/>
          <w:highlight w:val="none"/>
        </w:rPr>
        <w:t>最佳精准扶贫突出贡献奖”。</w:t>
      </w:r>
    </w:p>
    <w:p>
      <w:pPr>
        <w:keepNext w:val="0"/>
        <w:keepLines w:val="0"/>
        <w:pageBreakBefore w:val="0"/>
        <w:widowControl/>
        <w:kinsoku/>
        <w:wordWrap/>
        <w:overflowPunct/>
        <w:topLinePunct w:val="0"/>
        <w:autoSpaceDE/>
        <w:autoSpaceDN/>
        <w:bidi w:val="0"/>
        <w:adjustRightInd/>
        <w:snapToGrid/>
        <w:spacing w:line="520" w:lineRule="exact"/>
        <w:ind w:firstLine="555"/>
        <w:rPr>
          <w:rFonts w:hint="eastAsia" w:ascii="宋体" w:hAnsi="宋体"/>
          <w:sz w:val="30"/>
          <w:szCs w:val="30"/>
          <w:lang w:val="en-US" w:eastAsia="zh-CN"/>
        </w:rPr>
      </w:pPr>
      <w:r>
        <w:rPr>
          <w:rFonts w:hint="eastAsia" w:ascii="宋体" w:hAnsi="宋体" w:eastAsia="宋体" w:cs="宋体"/>
          <w:b w:val="0"/>
          <w:bCs w:val="0"/>
          <w:color w:val="000000"/>
          <w:sz w:val="28"/>
          <w:szCs w:val="28"/>
          <w:lang w:val="en-US" w:eastAsia="zh-CN"/>
        </w:rPr>
        <w:t>2020年1-12月，</w:t>
      </w:r>
      <w:r>
        <w:rPr>
          <w:rFonts w:hint="eastAsia" w:asciiTheme="minorEastAsia" w:hAnsiTheme="minorEastAsia" w:cstheme="minorEastAsia"/>
          <w:sz w:val="28"/>
          <w:szCs w:val="28"/>
        </w:rPr>
        <w:t>公司卓有成效的抗疫复工工作和支援社会各界的义举得到证监会、中期协、上海市、静安区等相关方面一致好评，被树为区域企业抗疫典型。时任上海市委常委、组织部长、现任上海市委副书记于绍良，静安区政协主席丁宝定分别莅临公司走访指导工作。</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30"/>
          <w:szCs w:val="30"/>
          <w:lang w:val="en-US" w:eastAsia="zh-CN"/>
        </w:rPr>
      </w:pPr>
      <w:r>
        <w:rPr>
          <w:rFonts w:hint="eastAsia" w:ascii="宋体" w:hAnsi="宋体"/>
          <w:sz w:val="30"/>
          <w:szCs w:val="30"/>
          <w:lang w:val="en-US" w:eastAsia="zh-CN"/>
        </w:rPr>
        <w:t>2020年2月，为支持新冠疫情的防疫治疗工作，公司紧急筹资20万捐献华山医院传染病学顶尖团队——张文宏团队，所有款项全部定向用于新冠疫情的定向研究和治疗。</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30"/>
          <w:szCs w:val="30"/>
          <w:lang w:val="en-US" w:eastAsia="zh-CN"/>
        </w:rPr>
      </w:pPr>
      <w:r>
        <w:rPr>
          <w:rFonts w:hint="eastAsia" w:ascii="宋体" w:hAnsi="宋体"/>
          <w:sz w:val="30"/>
          <w:szCs w:val="30"/>
          <w:lang w:val="en-US" w:eastAsia="zh-CN"/>
        </w:rPr>
        <w:t>2020年2月，公司党支部开展缴纳特殊党费活动，筹资10000多元，全部用于对抗新冠疫情的防治捐赠工作。</w:t>
      </w:r>
    </w:p>
    <w:p>
      <w:pPr>
        <w:pStyle w:val="18"/>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textAlignment w:val="top"/>
        <w:rPr>
          <w:rFonts w:hint="eastAsia" w:ascii="宋体" w:hAnsi="宋体"/>
          <w:sz w:val="30"/>
          <w:szCs w:val="30"/>
          <w:lang w:val="en-US" w:eastAsia="zh-CN"/>
        </w:rPr>
      </w:pPr>
      <w:r>
        <w:rPr>
          <w:rFonts w:hint="eastAsia" w:ascii="宋体" w:hAnsi="宋体"/>
          <w:sz w:val="30"/>
          <w:szCs w:val="30"/>
          <w:lang w:val="en-US" w:eastAsia="zh-CN"/>
        </w:rPr>
        <w:t>2020年2—6月，</w:t>
      </w:r>
      <w:r>
        <w:rPr>
          <w:rFonts w:hint="eastAsia"/>
          <w:color w:val="000000" w:themeColor="text1"/>
          <w:sz w:val="28"/>
          <w:szCs w:val="28"/>
          <w:lang w:val="en-US" w:eastAsia="zh-CN"/>
          <w14:textFill>
            <w14:solidFill>
              <w14:schemeClr w14:val="tx1"/>
            </w14:solidFill>
          </w14:textFill>
        </w:rPr>
        <w:t>公司</w:t>
      </w:r>
      <w:r>
        <w:rPr>
          <w:rFonts w:hint="eastAsia"/>
          <w:color w:val="000000" w:themeColor="text1"/>
          <w:sz w:val="28"/>
          <w:szCs w:val="28"/>
          <w14:textFill>
            <w14:solidFill>
              <w14:schemeClr w14:val="tx1"/>
            </w14:solidFill>
          </w14:textFill>
        </w:rPr>
        <w:t>向数十家实体企业赠送或提供了期权服务</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其中，</w:t>
      </w:r>
      <w:r>
        <w:rPr>
          <w:rFonts w:hint="eastAsia"/>
          <w:color w:val="000000" w:themeColor="text1"/>
          <w:sz w:val="28"/>
          <w:szCs w:val="28"/>
          <w14:textFill>
            <w14:solidFill>
              <w14:schemeClr w14:val="tx1"/>
            </w14:solidFill>
          </w14:textFill>
        </w:rPr>
        <w:t>向青岛中投泰华国际贸易有限公司赠送保障规模合计为1550吨的PP亚式看涨期权，为1100万口罩原材料货值进行保障，锁定了10.23亿只口罩生产的价格风险</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向浙商中拓集团股份有限公司等20家企业提供了场外期权服务，累计权利金2200万元，为21亿元的货物提供了价格保障。</w:t>
      </w:r>
    </w:p>
    <w:p>
      <w:pPr>
        <w:keepNext w:val="0"/>
        <w:keepLines w:val="0"/>
        <w:pageBreakBefore w:val="0"/>
        <w:kinsoku/>
        <w:wordWrap/>
        <w:overflowPunct/>
        <w:topLinePunct w:val="0"/>
        <w:autoSpaceDE/>
        <w:autoSpaceDN/>
        <w:bidi w:val="0"/>
        <w:adjustRightInd/>
        <w:snapToGrid/>
        <w:spacing w:line="520" w:lineRule="exact"/>
        <w:ind w:firstLine="601"/>
        <w:rPr>
          <w:rFonts w:hint="default" w:ascii="宋体" w:hAnsi="宋体"/>
          <w:sz w:val="30"/>
          <w:szCs w:val="30"/>
          <w:lang w:val="en-US" w:eastAsia="zh-CN"/>
        </w:rPr>
      </w:pPr>
      <w:r>
        <w:rPr>
          <w:rFonts w:hint="eastAsia" w:ascii="宋体" w:hAnsi="宋体"/>
          <w:sz w:val="30"/>
          <w:szCs w:val="30"/>
          <w:lang w:val="en-US" w:eastAsia="zh-CN"/>
        </w:rPr>
        <w:t>2020年2月—12月，公司总部、北京分公司、大连分公司、福建分公司、成都营业部、海口营业部、武汉营业部，向社会各界捐赠价值价值约7万元的抗疫物资。</w:t>
      </w:r>
    </w:p>
    <w:p>
      <w:pPr>
        <w:pStyle w:val="18"/>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textAlignment w:val="top"/>
        <w:rPr>
          <w:rFonts w:hint="eastAsia" w:ascii="宋体" w:hAnsi="宋体" w:cs="宋体"/>
          <w:color w:val="000000"/>
          <w:sz w:val="28"/>
          <w:szCs w:val="28"/>
        </w:rPr>
      </w:pPr>
      <w:r>
        <w:rPr>
          <w:rFonts w:hint="eastAsia" w:ascii="宋体" w:hAnsi="宋体"/>
          <w:sz w:val="30"/>
          <w:szCs w:val="30"/>
          <w:lang w:val="en-US" w:eastAsia="zh-CN"/>
        </w:rPr>
        <w:t>2020年5月，公司对辽宁省辽西地区开展消费扶贫工作，采购了价值4.6万元的农产品，支持当地农村地区的脱贫事业。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both"/>
        <w:textAlignment w:val="auto"/>
        <w:rPr>
          <w:rFonts w:hint="default" w:ascii="宋体" w:hAnsi="宋体" w:eastAsia="宋体"/>
          <w:sz w:val="28"/>
          <w:szCs w:val="28"/>
          <w:lang w:val="en-US" w:eastAsia="zh-CN"/>
        </w:rPr>
      </w:pPr>
      <w:r>
        <w:rPr>
          <w:rFonts w:hint="eastAsia" w:ascii="宋体" w:hAnsi="宋体" w:cs="宋体"/>
          <w:color w:val="000000"/>
          <w:sz w:val="28"/>
          <w:szCs w:val="28"/>
          <w:lang w:val="en-US" w:eastAsia="zh-CN"/>
        </w:rPr>
        <w:t>2020年8月，公司团支部被</w:t>
      </w:r>
      <w:r>
        <w:rPr>
          <w:rFonts w:hint="eastAsia" w:ascii="宋体" w:hAnsi="宋体" w:eastAsia="宋体"/>
          <w:sz w:val="28"/>
          <w:szCs w:val="28"/>
          <w:lang w:val="en-US" w:eastAsia="zh-CN"/>
        </w:rPr>
        <w:t>上海市静安区团委授予“五四红旗团组织”</w:t>
      </w:r>
      <w:r>
        <w:rPr>
          <w:rFonts w:hint="eastAsia" w:ascii="宋体" w:hAnsi="宋体"/>
          <w:sz w:val="28"/>
          <w:szCs w:val="28"/>
          <w:lang w:val="en-US" w:eastAsia="zh-CN"/>
        </w:rPr>
        <w:t>称号</w:t>
      </w:r>
      <w:r>
        <w:rPr>
          <w:rFonts w:hint="eastAsia" w:ascii="宋体" w:hAnsi="宋体" w:eastAsia="宋体"/>
          <w:sz w:val="28"/>
          <w:szCs w:val="28"/>
          <w:lang w:val="en-US" w:eastAsia="zh-CN"/>
        </w:rPr>
        <w:t>。</w:t>
      </w:r>
    </w:p>
    <w:p>
      <w:pPr>
        <w:keepNext w:val="0"/>
        <w:keepLines w:val="0"/>
        <w:pageBreakBefore w:val="0"/>
        <w:kinsoku/>
        <w:wordWrap/>
        <w:overflowPunct/>
        <w:topLinePunct w:val="0"/>
        <w:autoSpaceDE/>
        <w:autoSpaceDN/>
        <w:bidi w:val="0"/>
        <w:adjustRightInd/>
        <w:snapToGrid/>
        <w:spacing w:line="520" w:lineRule="exact"/>
        <w:ind w:firstLine="600" w:firstLineChars="200"/>
        <w:rPr>
          <w:rFonts w:hint="eastAsia" w:ascii="宋体" w:hAnsi="宋体"/>
          <w:sz w:val="30"/>
          <w:szCs w:val="30"/>
          <w:lang w:val="en-US" w:eastAsia="zh-CN"/>
        </w:rPr>
      </w:pPr>
      <w:r>
        <w:rPr>
          <w:rFonts w:hint="eastAsia" w:ascii="宋体" w:hAnsi="宋体"/>
          <w:sz w:val="30"/>
          <w:szCs w:val="30"/>
        </w:rPr>
        <w:t>20</w:t>
      </w:r>
      <w:r>
        <w:rPr>
          <w:rFonts w:hint="eastAsia" w:ascii="宋体" w:hAnsi="宋体"/>
          <w:sz w:val="30"/>
          <w:szCs w:val="30"/>
          <w:lang w:val="en-US" w:eastAsia="zh-CN"/>
        </w:rPr>
        <w:t>20</w:t>
      </w:r>
      <w:r>
        <w:rPr>
          <w:rFonts w:hint="eastAsia" w:ascii="宋体" w:hAnsi="宋体"/>
          <w:sz w:val="30"/>
          <w:szCs w:val="30"/>
        </w:rPr>
        <w:t>年公司与社会公益组织“爱传递.再生电脑教室”合作，</w:t>
      </w:r>
      <w:r>
        <w:rPr>
          <w:rFonts w:hint="eastAsia" w:ascii="宋体" w:hAnsi="宋体"/>
          <w:sz w:val="30"/>
          <w:szCs w:val="30"/>
          <w:lang w:val="en-US" w:eastAsia="zh-CN"/>
        </w:rPr>
        <w:t>先后在8月和12月两次</w:t>
      </w:r>
      <w:r>
        <w:rPr>
          <w:rFonts w:hint="eastAsia" w:ascii="宋体" w:hAnsi="宋体"/>
          <w:sz w:val="30"/>
          <w:szCs w:val="30"/>
        </w:rPr>
        <w:t>发起闲置电脑及信息设备“献爱心”捐赠活动，号召总部部门、分支机构和员工踊跃捐出旧电脑、旧平板电脑及旧手机等，积极</w:t>
      </w:r>
      <w:r>
        <w:rPr>
          <w:rFonts w:hint="eastAsia" w:ascii="宋体" w:hAnsi="宋体"/>
          <w:sz w:val="30"/>
          <w:szCs w:val="30"/>
          <w:lang w:val="en-US" w:eastAsia="zh-CN"/>
        </w:rPr>
        <w:t>支持</w:t>
      </w:r>
      <w:r>
        <w:rPr>
          <w:rFonts w:hint="eastAsia" w:ascii="宋体" w:hAnsi="宋体"/>
          <w:sz w:val="30"/>
          <w:szCs w:val="30"/>
        </w:rPr>
        <w:t>贫困地区少年儿童信息教育事业，</w:t>
      </w:r>
      <w:r>
        <w:rPr>
          <w:rFonts w:hint="eastAsia" w:ascii="宋体" w:hAnsi="宋体"/>
          <w:sz w:val="30"/>
          <w:szCs w:val="30"/>
          <w:lang w:val="en-US" w:eastAsia="zh-CN"/>
        </w:rPr>
        <w:t>两次活动累计捐赠旧台式机86台、笔记本8台、打印机5台、扫描仪1台、除湿机1台、碎纸机1台。</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30"/>
          <w:szCs w:val="30"/>
          <w:lang w:val="en-US" w:eastAsia="zh-CN"/>
        </w:rPr>
      </w:pPr>
      <w:r>
        <w:rPr>
          <w:rFonts w:hint="eastAsia" w:ascii="宋体" w:hAnsi="宋体"/>
          <w:sz w:val="30"/>
          <w:szCs w:val="30"/>
          <w:lang w:val="en-US" w:eastAsia="zh-CN"/>
        </w:rPr>
        <w:t>2020年10月，公司对陕西省延长县开展消费扶贫工作，采购2.3万元的农产品，支持当地防止返贫事业。</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2020年11月，公司被期货日报和证券时报授予最佳精准扶贫及爱心公益奖。</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eastAsia="宋体" w:cs="宋体"/>
          <w:color w:val="000000"/>
          <w:kern w:val="2"/>
          <w:sz w:val="28"/>
          <w:szCs w:val="28"/>
          <w:shd w:val="clear" w:fill="FFFFFF"/>
          <w:lang w:val="en-US" w:eastAsia="zh-CN" w:bidi="ar"/>
        </w:rPr>
      </w:pPr>
      <w:r>
        <w:rPr>
          <w:rFonts w:hint="eastAsia" w:ascii="宋体" w:hAnsi="宋体" w:cs="宋体"/>
          <w:sz w:val="28"/>
          <w:szCs w:val="28"/>
          <w:lang w:val="en-US" w:eastAsia="zh-CN"/>
        </w:rPr>
        <w:t>2020年12月，公司</w:t>
      </w:r>
      <w:r>
        <w:rPr>
          <w:rFonts w:hint="eastAsia" w:ascii="宋体" w:hAnsi="宋体" w:eastAsia="宋体" w:cs="宋体"/>
          <w:color w:val="000000"/>
          <w:kern w:val="2"/>
          <w:sz w:val="28"/>
          <w:szCs w:val="28"/>
          <w:shd w:val="clear" w:fill="FFFFFF"/>
          <w:lang w:val="en-US" w:eastAsia="zh-CN" w:bidi="ar"/>
        </w:rPr>
        <w:t>被中国金融思想政治工作研究会授予“2019-2020年全国金融系统文化建设先进单位”称号。</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宋体" w:hAnsi="宋体" w:eastAsia="宋体" w:cs="宋体"/>
          <w:color w:val="000000"/>
          <w:kern w:val="2"/>
          <w:sz w:val="28"/>
          <w:szCs w:val="28"/>
          <w:shd w:val="clear" w:fill="FFFFFF"/>
          <w:lang w:val="en-US" w:eastAsia="zh-CN" w:bidi="ar"/>
        </w:rPr>
      </w:pPr>
      <w:r>
        <w:rPr>
          <w:rFonts w:hint="eastAsia" w:ascii="宋体" w:hAnsi="宋体" w:cs="宋体"/>
          <w:sz w:val="28"/>
          <w:szCs w:val="28"/>
        </w:rPr>
        <w:t>2020年</w:t>
      </w:r>
      <w:r>
        <w:rPr>
          <w:rFonts w:hint="eastAsia" w:ascii="宋体" w:hAnsi="宋体" w:cs="宋体"/>
          <w:sz w:val="28"/>
          <w:szCs w:val="28"/>
          <w:lang w:val="en-US" w:eastAsia="zh-CN"/>
        </w:rPr>
        <w:t>全年</w:t>
      </w:r>
      <w:r>
        <w:rPr>
          <w:rFonts w:hint="eastAsia" w:ascii="宋体" w:hAnsi="宋体" w:cs="宋体"/>
          <w:sz w:val="28"/>
          <w:szCs w:val="28"/>
        </w:rPr>
        <w:t>，公司新开展“保险+期货”项目16个，覆盖黑龙江、河北、河南等13个省市自治区，覆盖建档立卡贫困户1万多户，预计最终赔付额将达5000多万元。</w:t>
      </w:r>
      <w:r>
        <w:rPr>
          <w:rFonts w:hint="eastAsia" w:ascii="宋体" w:hAnsi="宋体" w:cs="宋体"/>
          <w:sz w:val="28"/>
          <w:szCs w:val="28"/>
          <w:lang w:val="en-US" w:eastAsia="zh-CN"/>
        </w:rPr>
        <w:t>其中，</w:t>
      </w:r>
      <w:r>
        <w:rPr>
          <w:rFonts w:hint="eastAsia" w:ascii="宋体" w:hAnsi="宋体" w:cs="宋体"/>
          <w:sz w:val="28"/>
          <w:szCs w:val="28"/>
        </w:rPr>
        <w:t>海南省白沙天然橡胶县域全覆盖项目、河南省太康县“农民收入保障计划”系列项目、云南会泽县生猪饲料成本项目，为三地摘去国家级贫困的帽子作出直接贡献。</w:t>
      </w:r>
    </w:p>
    <w:bookmarkEnd w:id="26"/>
    <w:p>
      <w:pPr>
        <w:pStyle w:val="2"/>
        <w:keepNext w:val="0"/>
        <w:keepLines w:val="0"/>
        <w:pageBreakBefore w:val="0"/>
        <w:kinsoku/>
        <w:wordWrap/>
        <w:overflowPunct/>
        <w:topLinePunct w:val="0"/>
        <w:autoSpaceDE/>
        <w:autoSpaceDN/>
        <w:bidi w:val="0"/>
        <w:adjustRightInd/>
        <w:snapToGrid/>
        <w:spacing w:before="0" w:after="0" w:line="520" w:lineRule="exact"/>
        <w:rPr>
          <w:rFonts w:hint="eastAsia"/>
        </w:rPr>
      </w:pPr>
      <w:bookmarkStart w:id="27" w:name="_Toc38626403"/>
      <w:r>
        <w:rPr>
          <w:rFonts w:hint="eastAsia"/>
        </w:rPr>
        <w:t>6.2员工管理与合理的工作</w:t>
      </w:r>
      <w:bookmarkEnd w:id="27"/>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cs="宋体"/>
          <w:sz w:val="28"/>
          <w:szCs w:val="28"/>
        </w:rPr>
      </w:pPr>
      <w:r>
        <w:rPr>
          <w:rFonts w:hint="eastAsia" w:ascii="宋体" w:hAnsi="宋体" w:cs="宋体"/>
          <w:sz w:val="28"/>
          <w:szCs w:val="28"/>
        </w:rPr>
        <w:t>在各级党政机关、中国证监会、中期协、市同业公会的领导和帮助下</w:t>
      </w:r>
      <w:r>
        <w:rPr>
          <w:rFonts w:hint="eastAsia" w:ascii="宋体" w:hAnsi="宋体" w:cs="宋体"/>
          <w:sz w:val="28"/>
          <w:szCs w:val="28"/>
          <w:lang w:eastAsia="zh-CN"/>
        </w:rPr>
        <w:t>，</w:t>
      </w:r>
      <w:r>
        <w:rPr>
          <w:rFonts w:hint="eastAsia" w:ascii="宋体" w:hAnsi="宋体" w:cs="宋体"/>
          <w:sz w:val="28"/>
          <w:szCs w:val="28"/>
          <w:lang w:val="en-US" w:eastAsia="zh-CN"/>
        </w:rPr>
        <w:t>在合作伙伴和社会各界的关怀下，新湖期货股份股份有限公司</w:t>
      </w:r>
      <w:r>
        <w:rPr>
          <w:rFonts w:hint="eastAsia" w:ascii="宋体" w:hAnsi="宋体" w:cs="宋体"/>
          <w:sz w:val="28"/>
          <w:szCs w:val="28"/>
        </w:rPr>
        <w:t>秉承“</w:t>
      </w:r>
      <w:r>
        <w:rPr>
          <w:rFonts w:hint="eastAsia" w:ascii="宋体" w:hAnsi="宋体" w:cs="宋体"/>
          <w:sz w:val="28"/>
          <w:szCs w:val="28"/>
          <w:lang w:val="en-US" w:eastAsia="zh-CN"/>
        </w:rPr>
        <w:t>一切为了提升客户的赢利能力，</w:t>
      </w:r>
      <w:r>
        <w:rPr>
          <w:rFonts w:hint="eastAsia" w:ascii="宋体" w:hAnsi="宋体" w:cs="宋体"/>
          <w:sz w:val="28"/>
          <w:szCs w:val="28"/>
        </w:rPr>
        <w:t>一切为了优秀人才的持续成长”</w:t>
      </w:r>
      <w:r>
        <w:rPr>
          <w:rFonts w:hint="eastAsia" w:ascii="宋体" w:hAnsi="宋体" w:cs="宋体"/>
          <w:sz w:val="28"/>
          <w:szCs w:val="28"/>
          <w:lang w:val="en-US" w:eastAsia="zh-CN"/>
        </w:rPr>
        <w:t>发展</w:t>
      </w:r>
      <w:r>
        <w:rPr>
          <w:rFonts w:hint="eastAsia" w:ascii="宋体" w:hAnsi="宋体" w:cs="宋体"/>
          <w:sz w:val="28"/>
          <w:szCs w:val="28"/>
        </w:rPr>
        <w:t>理念，</w:t>
      </w:r>
      <w:r>
        <w:rPr>
          <w:rFonts w:hint="eastAsia" w:ascii="宋体" w:hAnsi="宋体" w:cs="宋体"/>
          <w:sz w:val="28"/>
          <w:szCs w:val="28"/>
          <w:lang w:val="en-US" w:eastAsia="zh-CN"/>
        </w:rPr>
        <w:t>围绕建设国际一流的专业驱动型综合衍生品全产业链服务商，致力于建设“经营管理</w:t>
      </w:r>
      <w:r>
        <w:rPr>
          <w:rFonts w:hint="eastAsia" w:ascii="宋体" w:hAnsi="宋体" w:cs="宋体"/>
          <w:sz w:val="28"/>
          <w:szCs w:val="28"/>
        </w:rPr>
        <w:t>”、“</w:t>
      </w:r>
      <w:r>
        <w:rPr>
          <w:rFonts w:hint="eastAsia" w:ascii="宋体" w:hAnsi="宋体" w:cs="宋体"/>
          <w:sz w:val="28"/>
          <w:szCs w:val="28"/>
          <w:lang w:val="en-US" w:eastAsia="zh-CN"/>
        </w:rPr>
        <w:t>专业驱动</w:t>
      </w:r>
      <w:r>
        <w:rPr>
          <w:rFonts w:hint="eastAsia" w:ascii="宋体" w:hAnsi="宋体" w:cs="宋体"/>
          <w:sz w:val="28"/>
          <w:szCs w:val="28"/>
        </w:rPr>
        <w:t>”</w:t>
      </w:r>
      <w:r>
        <w:rPr>
          <w:rFonts w:hint="eastAsia" w:ascii="宋体" w:hAnsi="宋体" w:cs="宋体"/>
          <w:sz w:val="28"/>
          <w:szCs w:val="28"/>
          <w:lang w:val="en-US" w:eastAsia="zh-CN"/>
        </w:rPr>
        <w:t>和</w:t>
      </w:r>
      <w:r>
        <w:rPr>
          <w:rFonts w:hint="eastAsia" w:ascii="宋体" w:hAnsi="宋体" w:cs="宋体"/>
          <w:sz w:val="28"/>
          <w:szCs w:val="28"/>
        </w:rPr>
        <w:t>“</w:t>
      </w:r>
      <w:r>
        <w:rPr>
          <w:rFonts w:hint="eastAsia" w:ascii="宋体" w:hAnsi="宋体" w:cs="宋体"/>
          <w:sz w:val="28"/>
          <w:szCs w:val="28"/>
          <w:lang w:val="en-US" w:eastAsia="zh-CN"/>
        </w:rPr>
        <w:t>运营服务</w:t>
      </w:r>
      <w:r>
        <w:rPr>
          <w:rFonts w:hint="eastAsia" w:ascii="宋体" w:hAnsi="宋体" w:cs="宋体"/>
          <w:sz w:val="28"/>
          <w:szCs w:val="28"/>
        </w:rPr>
        <w:t>”三支人才队伍</w:t>
      </w:r>
      <w:r>
        <w:rPr>
          <w:rFonts w:hint="eastAsia" w:ascii="宋体" w:hAnsi="宋体" w:cs="宋体"/>
          <w:sz w:val="28"/>
          <w:szCs w:val="28"/>
          <w:lang w:eastAsia="zh-CN"/>
        </w:rPr>
        <w:t>，</w:t>
      </w:r>
      <w:r>
        <w:rPr>
          <w:rFonts w:hint="eastAsia" w:ascii="宋体" w:hAnsi="宋体" w:cs="宋体"/>
          <w:sz w:val="28"/>
          <w:szCs w:val="28"/>
          <w:lang w:val="en-US" w:eastAsia="zh-CN"/>
        </w:rPr>
        <w:t>树立</w:t>
      </w:r>
      <w:r>
        <w:rPr>
          <w:rFonts w:hint="eastAsia" w:ascii="宋体" w:hAnsi="宋体" w:cs="宋体"/>
          <w:sz w:val="28"/>
          <w:szCs w:val="28"/>
        </w:rPr>
        <w:t>“党建引领、合规先行、管理规范，以服务实体、服务三农、服务</w:t>
      </w:r>
      <w:r>
        <w:rPr>
          <w:rFonts w:hint="eastAsia" w:ascii="宋体" w:hAnsi="宋体" w:cs="宋体"/>
          <w:sz w:val="28"/>
          <w:szCs w:val="28"/>
          <w:lang w:val="en-US" w:eastAsia="zh-CN"/>
        </w:rPr>
        <w:t>乡村振兴</w:t>
      </w:r>
      <w:r>
        <w:rPr>
          <w:rFonts w:hint="eastAsia" w:ascii="宋体" w:hAnsi="宋体" w:cs="宋体"/>
          <w:sz w:val="28"/>
          <w:szCs w:val="28"/>
        </w:rPr>
        <w:t>为创新驱动”的企业</w:t>
      </w:r>
      <w:r>
        <w:rPr>
          <w:rFonts w:hint="eastAsia" w:ascii="宋体" w:hAnsi="宋体" w:cs="宋体"/>
          <w:sz w:val="28"/>
          <w:szCs w:val="28"/>
          <w:lang w:val="en-US" w:eastAsia="zh-CN"/>
        </w:rPr>
        <w:t>团队</w:t>
      </w:r>
      <w:r>
        <w:rPr>
          <w:rFonts w:hint="eastAsia" w:ascii="宋体" w:hAnsi="宋体" w:cs="宋体"/>
          <w:sz w:val="28"/>
          <w:szCs w:val="28"/>
        </w:rPr>
        <w:t>文化理念</w:t>
      </w:r>
      <w:r>
        <w:rPr>
          <w:rFonts w:hint="eastAsia" w:ascii="宋体" w:hAnsi="宋体" w:cs="宋体"/>
          <w:sz w:val="28"/>
          <w:szCs w:val="28"/>
          <w:lang w:eastAsia="zh-CN"/>
        </w:rPr>
        <w:t>，</w:t>
      </w:r>
      <w:r>
        <w:rPr>
          <w:rFonts w:hint="eastAsia" w:ascii="宋体" w:hAnsi="宋体" w:cs="宋体"/>
          <w:sz w:val="28"/>
          <w:szCs w:val="28"/>
          <w:lang w:val="en-US" w:eastAsia="zh-CN"/>
        </w:rPr>
        <w:t>培育了一支500多人的专业驱动型期货人才团队，实现了企业的长期稳定高速发展。</w:t>
      </w:r>
    </w:p>
    <w:p>
      <w:pPr>
        <w:keepNext w:val="0"/>
        <w:keepLines w:val="0"/>
        <w:pageBreakBefore w:val="0"/>
        <w:kinsoku/>
        <w:wordWrap/>
        <w:overflowPunct/>
        <w:topLinePunct w:val="0"/>
        <w:autoSpaceDE/>
        <w:autoSpaceDN/>
        <w:bidi w:val="0"/>
        <w:adjustRightInd/>
        <w:snapToGrid/>
        <w:spacing w:line="520" w:lineRule="exact"/>
        <w:rPr>
          <w:rFonts w:ascii="宋体" w:hAnsi="宋体"/>
          <w:sz w:val="30"/>
          <w:szCs w:val="30"/>
        </w:rPr>
      </w:pPr>
      <w:r>
        <w:rPr>
          <w:rFonts w:hint="eastAsia" w:ascii="宋体" w:hAnsi="宋体"/>
          <w:sz w:val="30"/>
          <w:szCs w:val="30"/>
        </w:rPr>
        <w:t>6.2.1 关于员工的基本理念</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28"/>
          <w:szCs w:val="28"/>
        </w:rPr>
      </w:pPr>
      <w:r>
        <w:rPr>
          <w:rFonts w:hint="eastAsia" w:ascii="宋体" w:hAnsi="宋体"/>
          <w:sz w:val="28"/>
          <w:szCs w:val="28"/>
        </w:rPr>
        <w:t>公司实行以人为本的人才战略，建立了一套完善人才引进、培训、使用激励机制。公司严格遵守劳动法，持续提升员工工资福利，保持对优秀人才的吸引力；公司强调“公平、公正、公开”的企业文化，充分保障员工在公司治理中的知情权，绩效考核标准规范客观且充分征询员工意见，岗位晋升以业绩、能力、品德为先导，奖惩措施得当有力；公司注重员工的发展和成长，不断通过培训组织和学习激励制度促进员工技能提升，并为其成长提供足够的创业舞台，员工发展、团队发展和企业发展始终保持高度一致。此外，公司重视打造和谐融洽、积极进取的团队氛围，不断组织各类文体拓展活动，增进团队友谊，磨炼员工意志品质，员工满意度和团队融洽度不断提高。</w:t>
      </w:r>
    </w:p>
    <w:p>
      <w:pPr>
        <w:keepNext w:val="0"/>
        <w:keepLines w:val="0"/>
        <w:pageBreakBefore w:val="0"/>
        <w:kinsoku/>
        <w:wordWrap/>
        <w:overflowPunct/>
        <w:topLinePunct w:val="0"/>
        <w:autoSpaceDE/>
        <w:autoSpaceDN/>
        <w:bidi w:val="0"/>
        <w:adjustRightInd/>
        <w:snapToGrid/>
        <w:spacing w:line="520" w:lineRule="exact"/>
        <w:rPr>
          <w:rFonts w:ascii="宋体" w:hAnsi="宋体"/>
          <w:sz w:val="30"/>
          <w:szCs w:val="30"/>
        </w:rPr>
      </w:pPr>
      <w:r>
        <w:rPr>
          <w:rFonts w:hint="eastAsia" w:ascii="宋体" w:hAnsi="宋体"/>
          <w:sz w:val="30"/>
          <w:szCs w:val="30"/>
        </w:rPr>
        <w:t>6.2.2 员工薪酬</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28"/>
          <w:szCs w:val="28"/>
        </w:rPr>
      </w:pPr>
      <w:r>
        <w:rPr>
          <w:rFonts w:hint="eastAsia" w:ascii="宋体" w:hAnsi="宋体"/>
          <w:sz w:val="28"/>
          <w:szCs w:val="28"/>
        </w:rPr>
        <w:t>公司的薪酬体系严格符合《劳动法》、《劳动合同法》和各地方性政策要求，兼顾内部公平和外部公平，员工报酬与绩效表现相挂钩。公司薪酬随行就市，在行业内有着较强的竞争力。</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30"/>
          <w:szCs w:val="30"/>
        </w:rPr>
      </w:pPr>
      <w:r>
        <w:rPr>
          <w:rFonts w:hint="eastAsia" w:ascii="宋体" w:hAnsi="宋体"/>
          <w:sz w:val="28"/>
          <w:szCs w:val="28"/>
        </w:rPr>
        <w:t>公司严格依法执行国家法定休假日、带薪年休假制度，员工休假日期较法定假日多4-5日。公司不提倡加班文化，注重调节员工工作保护度和提高员工工作能力，要求员工不断提高在法定工作时间的工作效率，所有加班均需事前审批和事后审核，非必要情况不鼓励加班。</w:t>
      </w:r>
    </w:p>
    <w:p>
      <w:pPr>
        <w:keepNext w:val="0"/>
        <w:keepLines w:val="0"/>
        <w:pageBreakBefore w:val="0"/>
        <w:kinsoku/>
        <w:wordWrap/>
        <w:overflowPunct/>
        <w:topLinePunct w:val="0"/>
        <w:autoSpaceDE/>
        <w:autoSpaceDN/>
        <w:bidi w:val="0"/>
        <w:adjustRightInd/>
        <w:snapToGrid/>
        <w:spacing w:line="520" w:lineRule="exact"/>
        <w:rPr>
          <w:rFonts w:ascii="宋体" w:hAnsi="宋体"/>
          <w:sz w:val="30"/>
          <w:szCs w:val="30"/>
        </w:rPr>
      </w:pPr>
      <w:r>
        <w:rPr>
          <w:rFonts w:hint="eastAsia" w:ascii="宋体" w:hAnsi="宋体"/>
          <w:sz w:val="30"/>
          <w:szCs w:val="30"/>
        </w:rPr>
        <w:t>6.2.3 员工与管理层关系</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28"/>
          <w:szCs w:val="28"/>
        </w:rPr>
      </w:pPr>
      <w:r>
        <w:rPr>
          <w:rFonts w:hint="eastAsia" w:ascii="宋体" w:hAnsi="宋体"/>
          <w:sz w:val="28"/>
          <w:szCs w:val="28"/>
        </w:rPr>
        <w:t>公司管理秉承着“功以才成、唯才是举、任人唯贤”的人才观，积极引进各类专业人才和业务团队，通过机制化培训、培养内部人才，不断提高其专业素质和职业技能。公司保证人才享有“公平、公正”的发展渠道，不断通过机制性改革，打通人才发展瓶颈，将员工个人发展和公司愿景紧密结合，创造人才辈出的良好氛围。</w:t>
      </w:r>
    </w:p>
    <w:p>
      <w:pPr>
        <w:keepNext w:val="0"/>
        <w:keepLines w:val="0"/>
        <w:pageBreakBefore w:val="0"/>
        <w:kinsoku/>
        <w:wordWrap/>
        <w:overflowPunct/>
        <w:topLinePunct w:val="0"/>
        <w:autoSpaceDE/>
        <w:autoSpaceDN/>
        <w:bidi w:val="0"/>
        <w:adjustRightInd/>
        <w:snapToGrid/>
        <w:spacing w:line="520" w:lineRule="exact"/>
        <w:rPr>
          <w:rFonts w:ascii="宋体" w:hAnsi="宋体"/>
          <w:sz w:val="30"/>
          <w:szCs w:val="30"/>
        </w:rPr>
      </w:pPr>
      <w:r>
        <w:rPr>
          <w:rFonts w:hint="eastAsia" w:ascii="宋体" w:hAnsi="宋体"/>
          <w:sz w:val="30"/>
          <w:szCs w:val="30"/>
        </w:rPr>
        <w:t>6.2.4 职业健康与安全</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28"/>
          <w:szCs w:val="28"/>
        </w:rPr>
      </w:pPr>
      <w:r>
        <w:rPr>
          <w:rFonts w:hint="eastAsia" w:ascii="宋体" w:hAnsi="宋体"/>
          <w:sz w:val="28"/>
          <w:szCs w:val="28"/>
        </w:rPr>
        <w:t>公司关注员工身体健康，定期安排全体员工进行体检；鼓励员工积极参加体育锻炼，提高身体素质和健康水平，积极开展季度“健身走”活动，组织代表队参加各方组织的文体活动；公司积极携手企业工会推进各类员工健康改善计划，例如在20</w:t>
      </w:r>
      <w:r>
        <w:rPr>
          <w:rFonts w:hint="eastAsia" w:ascii="宋体" w:hAnsi="宋体"/>
          <w:sz w:val="28"/>
          <w:szCs w:val="28"/>
          <w:lang w:val="en-US" w:eastAsia="zh-CN"/>
        </w:rPr>
        <w:t>20</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月开展了员工流感疫苗注射活动，公司约1</w:t>
      </w:r>
      <w:r>
        <w:rPr>
          <w:rFonts w:hint="eastAsia" w:ascii="宋体" w:hAnsi="宋体"/>
          <w:sz w:val="28"/>
          <w:szCs w:val="28"/>
          <w:lang w:val="en-US" w:eastAsia="zh-CN"/>
        </w:rPr>
        <w:t>20</w:t>
      </w:r>
      <w:r>
        <w:rPr>
          <w:rFonts w:hint="eastAsia" w:ascii="宋体" w:hAnsi="宋体"/>
          <w:sz w:val="28"/>
          <w:szCs w:val="28"/>
        </w:rPr>
        <w:t>多位员工自愿接受接种疫苗；每年都缴纳上海市职工互助保障金。</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28"/>
          <w:szCs w:val="28"/>
        </w:rPr>
      </w:pPr>
      <w:r>
        <w:rPr>
          <w:rFonts w:hint="eastAsia" w:ascii="宋体" w:hAnsi="宋体"/>
          <w:sz w:val="28"/>
          <w:szCs w:val="28"/>
        </w:rPr>
        <w:t>公司坚决执行国家、市区各项安全生产法律和规定，并严格落实《办公场所管理固定》中安全保卫方面的规章制度，确保员工的生命权和财产权得到保障。公司积极参与各级政府和行业协会主办的培训、宣传、应急演练等活动，提升员工的安全技能水平，增强员工安全意识。20</w:t>
      </w:r>
      <w:r>
        <w:rPr>
          <w:rFonts w:hint="eastAsia" w:ascii="宋体" w:hAnsi="宋体"/>
          <w:sz w:val="28"/>
          <w:szCs w:val="28"/>
          <w:lang w:val="en-US" w:eastAsia="zh-CN"/>
        </w:rPr>
        <w:t>20</w:t>
      </w:r>
      <w:r>
        <w:rPr>
          <w:rFonts w:hint="eastAsia" w:ascii="宋体" w:hAnsi="宋体"/>
          <w:sz w:val="28"/>
          <w:szCs w:val="28"/>
        </w:rPr>
        <w:t>年，公司全年未发生安全责任事故。</w:t>
      </w:r>
    </w:p>
    <w:p>
      <w:pPr>
        <w:keepNext w:val="0"/>
        <w:keepLines w:val="0"/>
        <w:pageBreakBefore w:val="0"/>
        <w:kinsoku/>
        <w:wordWrap/>
        <w:overflowPunct/>
        <w:topLinePunct w:val="0"/>
        <w:autoSpaceDE/>
        <w:autoSpaceDN/>
        <w:bidi w:val="0"/>
        <w:adjustRightInd/>
        <w:snapToGrid/>
        <w:spacing w:line="520" w:lineRule="exact"/>
        <w:rPr>
          <w:rFonts w:ascii="宋体" w:hAnsi="宋体"/>
          <w:sz w:val="30"/>
          <w:szCs w:val="30"/>
        </w:rPr>
      </w:pPr>
      <w:r>
        <w:rPr>
          <w:rFonts w:hint="eastAsia" w:ascii="宋体" w:hAnsi="宋体"/>
          <w:sz w:val="30"/>
          <w:szCs w:val="30"/>
        </w:rPr>
        <w:t>6.2.5 员工的福利与社会保障</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28"/>
          <w:szCs w:val="28"/>
        </w:rPr>
      </w:pPr>
      <w:r>
        <w:rPr>
          <w:rFonts w:hint="eastAsia" w:ascii="宋体" w:hAnsi="宋体"/>
          <w:sz w:val="28"/>
          <w:szCs w:val="28"/>
        </w:rPr>
        <w:t>公司依法为员工缴纳各种法定社会保险，为员工提供额外的商业保险，缴纳补充公积金，无任何欠缴情况。除上述外，公司还通过给每一位员工发放过节费、高</w:t>
      </w:r>
      <w:r>
        <w:rPr>
          <w:rFonts w:hint="eastAsia" w:ascii="宋体" w:hAnsi="宋体"/>
          <w:sz w:val="28"/>
          <w:szCs w:val="28"/>
          <w:highlight w:val="none"/>
        </w:rPr>
        <w:t>温费、饭贴、车贴的形式</w:t>
      </w:r>
      <w:r>
        <w:rPr>
          <w:rFonts w:hint="eastAsia" w:ascii="宋体" w:hAnsi="宋体"/>
          <w:sz w:val="28"/>
          <w:szCs w:val="28"/>
        </w:rPr>
        <w:t>，切实加强员工福利待遇。公司每年组织一次员工健康体检，并通过企业工会缴纳各类补充保险。</w:t>
      </w:r>
    </w:p>
    <w:p>
      <w:pPr>
        <w:keepNext w:val="0"/>
        <w:keepLines w:val="0"/>
        <w:pageBreakBefore w:val="0"/>
        <w:kinsoku/>
        <w:wordWrap/>
        <w:overflowPunct/>
        <w:topLinePunct w:val="0"/>
        <w:autoSpaceDE/>
        <w:autoSpaceDN/>
        <w:bidi w:val="0"/>
        <w:adjustRightInd/>
        <w:snapToGrid/>
        <w:spacing w:line="520" w:lineRule="exact"/>
        <w:rPr>
          <w:rFonts w:ascii="宋体" w:hAnsi="宋体"/>
          <w:sz w:val="30"/>
          <w:szCs w:val="30"/>
        </w:rPr>
      </w:pPr>
      <w:r>
        <w:rPr>
          <w:rFonts w:hint="eastAsia" w:ascii="宋体" w:hAnsi="宋体"/>
          <w:sz w:val="30"/>
          <w:szCs w:val="30"/>
        </w:rPr>
        <w:t>6.2.6 培训和教育</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28"/>
          <w:szCs w:val="28"/>
        </w:rPr>
      </w:pPr>
      <w:r>
        <w:rPr>
          <w:rFonts w:hint="eastAsia" w:ascii="宋体" w:hAnsi="宋体"/>
          <w:sz w:val="28"/>
          <w:szCs w:val="28"/>
        </w:rPr>
        <w:t>公司非常注重员工的培训和教育工作，将创建学习型组织作为公司中长期战略的重要组成部分。公司提供各种培训资源和渠道，搭建完善的培训体系，包括新员工入职培训、岗位培训、管理者提升培训、外派培训等形式。通过综合平衡长期战略目标、年度发展计划、岗位职责、绩效改进需要，以及员工能力差距和职业发展的需求，使得员工的学习和发展既能促进公司整体目标的实现，又能满足员工个人能力和职业发展的需要，实现企业和员工共赢。</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28"/>
          <w:szCs w:val="28"/>
          <w:lang w:val="en-US" w:eastAsia="zh-CN"/>
        </w:rPr>
      </w:pPr>
      <w:r>
        <w:rPr>
          <w:rFonts w:hint="eastAsia" w:ascii="宋体" w:hAnsi="宋体"/>
          <w:sz w:val="28"/>
          <w:szCs w:val="28"/>
          <w:lang w:val="en-US" w:eastAsia="zh-CN"/>
        </w:rPr>
        <w:t>面向中高层领导经营管理者团队</w:t>
      </w:r>
      <w:r>
        <w:rPr>
          <w:rFonts w:hint="eastAsia" w:ascii="宋体" w:hAnsi="宋体"/>
          <w:sz w:val="28"/>
          <w:szCs w:val="28"/>
        </w:rPr>
        <w:t>，</w:t>
      </w:r>
      <w:r>
        <w:rPr>
          <w:rFonts w:hint="eastAsia" w:ascii="宋体" w:hAnsi="宋体"/>
          <w:sz w:val="28"/>
          <w:szCs w:val="28"/>
          <w:lang w:val="en-US" w:eastAsia="zh-CN"/>
        </w:rPr>
        <w:t>公司持续</w:t>
      </w:r>
      <w:r>
        <w:rPr>
          <w:rFonts w:hint="eastAsia" w:ascii="宋体" w:hAnsi="宋体"/>
          <w:sz w:val="28"/>
          <w:szCs w:val="28"/>
        </w:rPr>
        <w:t>推进“精英</w:t>
      </w:r>
      <w:r>
        <w:rPr>
          <w:rFonts w:hint="eastAsia" w:ascii="宋体" w:hAnsi="宋体"/>
          <w:sz w:val="28"/>
          <w:szCs w:val="28"/>
          <w:lang w:val="en-US" w:eastAsia="zh-CN"/>
        </w:rPr>
        <w:t>人才</w:t>
      </w:r>
      <w:r>
        <w:rPr>
          <w:rFonts w:hint="eastAsia" w:ascii="宋体" w:hAnsi="宋体"/>
          <w:sz w:val="28"/>
          <w:szCs w:val="28"/>
        </w:rPr>
        <w:t>培训计划”，以领导力</w:t>
      </w:r>
      <w:r>
        <w:rPr>
          <w:rFonts w:hint="eastAsia" w:ascii="宋体" w:hAnsi="宋体"/>
          <w:sz w:val="28"/>
          <w:szCs w:val="28"/>
          <w:lang w:val="en-US" w:eastAsia="zh-CN"/>
        </w:rPr>
        <w:t>和业务能力提升</w:t>
      </w:r>
      <w:r>
        <w:rPr>
          <w:rFonts w:hint="eastAsia" w:ascii="宋体" w:hAnsi="宋体"/>
          <w:sz w:val="28"/>
          <w:szCs w:val="28"/>
        </w:rPr>
        <w:t>为核心，通过进行包括“管理思维</w:t>
      </w:r>
      <w:r>
        <w:rPr>
          <w:rFonts w:hint="eastAsia" w:ascii="宋体" w:hAnsi="宋体"/>
          <w:sz w:val="28"/>
          <w:szCs w:val="28"/>
          <w:lang w:val="en-US" w:eastAsia="zh-CN"/>
        </w:rPr>
        <w:t>塑造</w:t>
      </w:r>
      <w:r>
        <w:rPr>
          <w:rFonts w:hint="eastAsia" w:ascii="宋体" w:hAnsi="宋体"/>
          <w:sz w:val="28"/>
          <w:szCs w:val="28"/>
        </w:rPr>
        <w:t>”、“</w:t>
      </w:r>
      <w:r>
        <w:rPr>
          <w:rFonts w:hint="eastAsia" w:ascii="宋体" w:hAnsi="宋体"/>
          <w:sz w:val="28"/>
          <w:szCs w:val="28"/>
          <w:lang w:val="en-US" w:eastAsia="zh-CN"/>
        </w:rPr>
        <w:t>业务拓展</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经营理念塑造</w:t>
      </w:r>
      <w:r>
        <w:rPr>
          <w:rFonts w:hint="eastAsia" w:ascii="宋体" w:hAnsi="宋体"/>
          <w:sz w:val="28"/>
          <w:szCs w:val="28"/>
          <w:lang w:eastAsia="zh-CN"/>
        </w:rPr>
        <w:t>”</w:t>
      </w:r>
      <w:r>
        <w:rPr>
          <w:rFonts w:hint="eastAsia" w:ascii="宋体" w:hAnsi="宋体"/>
          <w:sz w:val="28"/>
          <w:szCs w:val="28"/>
        </w:rPr>
        <w:t>等课程教育，不断提升</w:t>
      </w:r>
      <w:r>
        <w:rPr>
          <w:rFonts w:hint="eastAsia" w:ascii="宋体" w:hAnsi="宋体"/>
          <w:sz w:val="28"/>
          <w:szCs w:val="28"/>
          <w:lang w:val="en-US" w:eastAsia="zh-CN"/>
        </w:rPr>
        <w:t>分支机构机构、事业部负责人的</w:t>
      </w:r>
      <w:r>
        <w:rPr>
          <w:rFonts w:hint="eastAsia" w:ascii="宋体" w:hAnsi="宋体"/>
          <w:sz w:val="28"/>
          <w:szCs w:val="28"/>
        </w:rPr>
        <w:t>业务</w:t>
      </w:r>
      <w:r>
        <w:rPr>
          <w:rFonts w:hint="eastAsia" w:ascii="宋体" w:hAnsi="宋体"/>
          <w:sz w:val="28"/>
          <w:szCs w:val="28"/>
          <w:lang w:val="en-US" w:eastAsia="zh-CN"/>
        </w:rPr>
        <w:t>拓展</w:t>
      </w:r>
      <w:r>
        <w:rPr>
          <w:rFonts w:hint="eastAsia" w:ascii="宋体" w:hAnsi="宋体"/>
          <w:sz w:val="28"/>
          <w:szCs w:val="28"/>
        </w:rPr>
        <w:t>和创新业务实践能力</w:t>
      </w:r>
      <w:r>
        <w:rPr>
          <w:rFonts w:hint="eastAsia" w:ascii="宋体" w:hAnsi="宋体"/>
          <w:sz w:val="28"/>
          <w:szCs w:val="28"/>
          <w:lang w:eastAsia="zh-CN"/>
        </w:rPr>
        <w:t>，</w:t>
      </w:r>
      <w:r>
        <w:rPr>
          <w:rFonts w:hint="eastAsia" w:ascii="宋体" w:hAnsi="宋体"/>
          <w:sz w:val="28"/>
          <w:szCs w:val="28"/>
          <w:lang w:val="en-US" w:eastAsia="zh-CN"/>
        </w:rPr>
        <w:t>使之充分发挥独当一面的团队核心作用</w:t>
      </w:r>
      <w:r>
        <w:rPr>
          <w:rFonts w:hint="eastAsia" w:ascii="宋体" w:hAnsi="宋体"/>
          <w:sz w:val="28"/>
          <w:szCs w:val="28"/>
          <w:lang w:eastAsia="zh-CN"/>
        </w:rPr>
        <w:t>。</w:t>
      </w:r>
      <w:r>
        <w:rPr>
          <w:rFonts w:hint="eastAsia" w:ascii="宋体" w:hAnsi="宋体"/>
          <w:sz w:val="28"/>
          <w:szCs w:val="28"/>
          <w:lang w:val="en-US" w:eastAsia="zh-CN"/>
        </w:rPr>
        <w:t>面向研究和各专业服务员工，公司创造性构建跨部门专业驱动研究服务体系，为各类研究和专业人才提供广阔的干事创业的舞台，逐步形成了以研究所为核心，有色贵金属、黑色、能化、农产品事业部为支架的专业驱动人才服务团队，在业内树立了新湖研究和新湖产业链服务的良好口碑。面向</w:t>
      </w:r>
      <w:r>
        <w:rPr>
          <w:rFonts w:hint="eastAsia" w:ascii="宋体" w:hAnsi="宋体"/>
          <w:sz w:val="28"/>
          <w:szCs w:val="28"/>
        </w:rPr>
        <w:t>基层技能人才，推行“技能提升计划”，广泛开展各种行业知识和专业技术技能培训，使其能满足当前和未来工作需要，持续取得进步。转型发展十多年来，公司基本建成年龄结构合理、学历素质优秀、业务技能过硬、梯度层次合理的学习型人才团队。</w:t>
      </w:r>
      <w:r>
        <w:rPr>
          <w:rFonts w:hint="eastAsia" w:ascii="宋体" w:hAnsi="宋体"/>
          <w:sz w:val="28"/>
          <w:szCs w:val="28"/>
          <w:lang w:val="en-US" w:eastAsia="zh-CN"/>
        </w:rPr>
        <w:t>面向运营服务和后台服务人才，公司按照部门和岗位职责，推行后台岗位“赋能”培养机制。即以服务公司服务提升为核心，向后台岗位提供各类专业培训和引入各种专业管理软件，实现后台岗位职工技能全面提升，帮助后台员工加速成长。</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28"/>
          <w:szCs w:val="28"/>
          <w:lang w:val="en-US" w:eastAsia="zh-CN"/>
        </w:rPr>
      </w:pPr>
      <w:r>
        <w:rPr>
          <w:rFonts w:hint="eastAsia" w:ascii="宋体" w:hAnsi="宋体"/>
          <w:sz w:val="28"/>
          <w:szCs w:val="28"/>
          <w:lang w:val="en-US" w:eastAsia="zh-CN"/>
        </w:rPr>
        <w:t>公司培训由综合管理部牵头落实，在课程设置上主要设置了四种课程，即通用类课程、专业课程、法规课程和拓展课程；在培训中，主要通过集中培训与网络培训为辅的方式，推动企业课程落地。公司对员工培训设置了严格的考核和长效观测环节，对员工在培训中暴露的问题进行长期跟踪，并予以帮助改正提高，进而形成专门的人才培训档案，为年终考评和人才提拔提供依据，实现了人才培育与长效考核一体的有力机制。</w:t>
      </w:r>
    </w:p>
    <w:p>
      <w:pPr>
        <w:keepNext w:val="0"/>
        <w:keepLines w:val="0"/>
        <w:pageBreakBefore w:val="0"/>
        <w:kinsoku/>
        <w:wordWrap/>
        <w:overflowPunct/>
        <w:topLinePunct w:val="0"/>
        <w:autoSpaceDE/>
        <w:autoSpaceDN/>
        <w:bidi w:val="0"/>
        <w:adjustRightInd/>
        <w:snapToGrid/>
        <w:spacing w:line="520" w:lineRule="exact"/>
        <w:rPr>
          <w:rFonts w:ascii="宋体" w:hAnsi="宋体"/>
          <w:sz w:val="30"/>
          <w:szCs w:val="30"/>
        </w:rPr>
      </w:pPr>
      <w:r>
        <w:rPr>
          <w:rFonts w:hint="eastAsia" w:ascii="宋体" w:hAnsi="宋体"/>
          <w:sz w:val="30"/>
          <w:szCs w:val="30"/>
        </w:rPr>
        <w:t>6.2.7 对工作单位满意度度</w:t>
      </w:r>
    </w:p>
    <w:p>
      <w:pPr>
        <w:keepNext w:val="0"/>
        <w:keepLines w:val="0"/>
        <w:pageBreakBefore w:val="0"/>
        <w:kinsoku/>
        <w:wordWrap/>
        <w:overflowPunct/>
        <w:topLinePunct w:val="0"/>
        <w:autoSpaceDE/>
        <w:autoSpaceDN/>
        <w:bidi w:val="0"/>
        <w:adjustRightInd/>
        <w:snapToGrid/>
        <w:spacing w:line="520" w:lineRule="exact"/>
        <w:ind w:firstLine="600"/>
        <w:rPr>
          <w:rFonts w:hint="eastAsia" w:ascii="宋体" w:hAnsi="宋体"/>
          <w:sz w:val="30"/>
          <w:szCs w:val="30"/>
        </w:rPr>
      </w:pPr>
      <w:r>
        <w:rPr>
          <w:rFonts w:hint="eastAsia" w:ascii="宋体" w:hAnsi="宋体"/>
          <w:sz w:val="30"/>
          <w:szCs w:val="30"/>
        </w:rPr>
        <w:t>公司每年都通过员工打分和抽样方式调查员工满意度，并积极开展职工个人面谈，听取员工对制度和管理层的意见，不断改进管理手段和方式。2008年重组以来，公司员工满意度逐年提高，长期保持在90%以上。</w:t>
      </w:r>
    </w:p>
    <w:p>
      <w:pPr>
        <w:keepNext w:val="0"/>
        <w:keepLines w:val="0"/>
        <w:pageBreakBefore w:val="0"/>
        <w:kinsoku/>
        <w:wordWrap/>
        <w:overflowPunct/>
        <w:topLinePunct w:val="0"/>
        <w:autoSpaceDE/>
        <w:autoSpaceDN/>
        <w:bidi w:val="0"/>
        <w:adjustRightInd/>
        <w:snapToGrid/>
        <w:spacing w:line="520" w:lineRule="exact"/>
        <w:rPr>
          <w:rFonts w:hint="default" w:ascii="宋体" w:hAnsi="宋体" w:eastAsia="宋体"/>
          <w:sz w:val="30"/>
          <w:szCs w:val="30"/>
          <w:lang w:val="en-US" w:eastAsia="zh-CN"/>
        </w:rPr>
      </w:pPr>
      <w:r>
        <w:rPr>
          <w:rFonts w:hint="eastAsia" w:ascii="宋体" w:hAnsi="宋体"/>
          <w:sz w:val="30"/>
          <w:szCs w:val="30"/>
        </w:rPr>
        <w:t>6.2.7</w:t>
      </w:r>
      <w:r>
        <w:rPr>
          <w:rFonts w:hint="eastAsia" w:ascii="宋体" w:hAnsi="宋体"/>
          <w:sz w:val="30"/>
          <w:szCs w:val="30"/>
          <w:lang w:val="en-US" w:eastAsia="zh-CN"/>
        </w:rPr>
        <w:t xml:space="preserve"> 疫情期间的各种人力资源促进和人文关爱措施</w:t>
      </w:r>
    </w:p>
    <w:p>
      <w:pPr>
        <w:pStyle w:val="18"/>
        <w:spacing w:before="0" w:beforeAutospacing="0" w:after="0" w:afterAutospacing="0" w:line="520" w:lineRule="exact"/>
        <w:ind w:firstLine="560" w:firstLineChars="200"/>
        <w:textAlignment w:val="top"/>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一</w:t>
      </w:r>
      <w:r>
        <w:rPr>
          <w:rFonts w:hint="eastAsia"/>
          <w:color w:val="000000" w:themeColor="text1"/>
          <w:sz w:val="28"/>
          <w:szCs w:val="28"/>
          <w14:textFill>
            <w14:solidFill>
              <w14:schemeClr w14:val="tx1"/>
            </w14:solidFill>
          </w14:textFill>
        </w:rPr>
        <w:t>、“不裁员、不减薪”，实施一线抗疫复工关爱措施</w:t>
      </w:r>
    </w:p>
    <w:p>
      <w:pPr>
        <w:pStyle w:val="18"/>
        <w:spacing w:before="0" w:beforeAutospacing="0" w:after="0" w:afterAutospacing="0" w:line="520" w:lineRule="exact"/>
        <w:ind w:firstLine="560" w:firstLineChars="200"/>
        <w:textAlignment w:val="top"/>
        <w:rPr>
          <w:bCs/>
          <w:color w:val="000000" w:themeColor="text1"/>
          <w:sz w:val="28"/>
          <w:szCs w:val="28"/>
          <w14:textFill>
            <w14:solidFill>
              <w14:schemeClr w14:val="tx1"/>
            </w14:solidFill>
          </w14:textFill>
        </w:rPr>
      </w:pPr>
      <w:r>
        <w:rPr>
          <w:rFonts w:hint="eastAsia"/>
          <w:bCs/>
          <w:color w:val="000000" w:themeColor="text1"/>
          <w:sz w:val="28"/>
          <w:szCs w:val="28"/>
          <w:lang w:val="en-US" w:eastAsia="zh-CN"/>
          <w14:textFill>
            <w14:solidFill>
              <w14:schemeClr w14:val="tx1"/>
            </w14:solidFill>
          </w14:textFill>
        </w:rPr>
        <w:t>公司心系员工困难</w:t>
      </w:r>
      <w:r>
        <w:rPr>
          <w:rFonts w:hint="eastAsia"/>
          <w:bCs/>
          <w:color w:val="000000" w:themeColor="text1"/>
          <w:sz w:val="28"/>
          <w:szCs w:val="28"/>
          <w14:textFill>
            <w14:solidFill>
              <w14:schemeClr w14:val="tx1"/>
            </w14:solidFill>
          </w14:textFill>
        </w:rPr>
        <w:t>，保证全体员工薪酬福利均照常发放，</w:t>
      </w:r>
      <w:r>
        <w:rPr>
          <w:rFonts w:hint="eastAsia"/>
          <w:bCs/>
          <w:color w:val="000000" w:themeColor="text1"/>
          <w:sz w:val="28"/>
          <w:szCs w:val="28"/>
          <w:lang w:val="en-US" w:eastAsia="zh-CN"/>
          <w14:textFill>
            <w14:solidFill>
              <w14:schemeClr w14:val="tx1"/>
            </w14:solidFill>
          </w14:textFill>
        </w:rPr>
        <w:t>做到了</w:t>
      </w:r>
      <w:r>
        <w:rPr>
          <w:rFonts w:hint="eastAsia"/>
          <w:bCs/>
          <w:color w:val="000000" w:themeColor="text1"/>
          <w:sz w:val="28"/>
          <w:szCs w:val="28"/>
          <w14:textFill>
            <w14:solidFill>
              <w14:schemeClr w14:val="tx1"/>
            </w14:solidFill>
          </w14:textFill>
        </w:rPr>
        <w:t>不因疫情裁员和减薪。针对一线防疫人员，公司发放了相关抗疫补贴。同时，为解决提前现场复工的午餐困难，公司还高价订购了放心午餐。截止</w:t>
      </w:r>
      <w:r>
        <w:rPr>
          <w:rFonts w:hint="eastAsia"/>
          <w:bCs/>
          <w:color w:val="000000" w:themeColor="text1"/>
          <w:sz w:val="28"/>
          <w:szCs w:val="28"/>
          <w:lang w:val="en-US" w:eastAsia="zh-CN"/>
          <w14:textFill>
            <w14:solidFill>
              <w14:schemeClr w14:val="tx1"/>
            </w14:solidFill>
          </w14:textFill>
        </w:rPr>
        <w:t>12月31日，疫情期间工资保障、一线抗疫补贴、放心午餐</w:t>
      </w:r>
      <w:r>
        <w:rPr>
          <w:rFonts w:hint="eastAsia"/>
          <w:bCs/>
          <w:color w:val="000000" w:themeColor="text1"/>
          <w:sz w:val="28"/>
          <w:szCs w:val="28"/>
          <w14:textFill>
            <w14:solidFill>
              <w14:schemeClr w14:val="tx1"/>
            </w14:solidFill>
          </w14:textFill>
        </w:rPr>
        <w:t>三项支出累计达37万余元。</w:t>
      </w:r>
    </w:p>
    <w:p>
      <w:pPr>
        <w:pStyle w:val="18"/>
        <w:spacing w:before="0" w:beforeAutospacing="0" w:after="0" w:afterAutospacing="0" w:line="520" w:lineRule="exact"/>
        <w:ind w:firstLine="560" w:firstLineChars="200"/>
        <w:textAlignment w:val="top"/>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二</w:t>
      </w:r>
      <w:r>
        <w:rPr>
          <w:rFonts w:hint="eastAsia"/>
          <w:color w:val="000000" w:themeColor="text1"/>
          <w:sz w:val="28"/>
          <w:szCs w:val="28"/>
          <w14:textFill>
            <w14:solidFill>
              <w14:schemeClr w14:val="tx1"/>
            </w14:solidFill>
          </w14:textFill>
        </w:rPr>
        <w:t>、树立员工抗疫信念和信心，启动疫情心理疏导措施</w:t>
      </w:r>
    </w:p>
    <w:p>
      <w:pPr>
        <w:pStyle w:val="18"/>
        <w:spacing w:before="0" w:beforeAutospacing="0" w:after="0" w:afterAutospacing="0" w:line="520" w:lineRule="exact"/>
        <w:ind w:firstLine="560" w:firstLineChars="200"/>
        <w:textAlignment w:val="top"/>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疫情发生之后，部分员工出现了“恐疫”和担忧失业的心理。针对新生代员工特点，公司积极利用线上沟通渠道发布</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新型冠状病毒感染的肺炎防控</w:t>
      </w:r>
      <w:r>
        <w:rPr>
          <w:color w:val="000000" w:themeColor="text1"/>
          <w:sz w:val="28"/>
          <w:szCs w:val="28"/>
          <w14:textFill>
            <w14:solidFill>
              <w14:schemeClr w14:val="tx1"/>
            </w14:solidFill>
          </w14:textFill>
        </w:rPr>
        <w:t>知识手册</w:t>
      </w:r>
      <w:r>
        <w:rPr>
          <w:rFonts w:hint="eastAsia"/>
          <w:color w:val="000000" w:themeColor="text1"/>
          <w:sz w:val="28"/>
          <w:szCs w:val="28"/>
          <w14:textFill>
            <w14:solidFill>
              <w14:schemeClr w14:val="tx1"/>
            </w14:solidFill>
          </w14:textFill>
        </w:rPr>
        <w:t>》、口罩使用方法、防护知识、各地防疫措施等，从源头上破解员工恐慌心理。针对身处湖北疫区的员工，公司及时组建湖北员工微信群，安抚心态，了解需求，提供力所能及的援助。此外，公司还开设了HR咨询热线，点对点地为员工进行心理帮扶工作，耐心解读人力资源政策。</w:t>
      </w:r>
    </w:p>
    <w:p>
      <w:pPr>
        <w:spacing w:line="520" w:lineRule="exact"/>
        <w:ind w:firstLine="560" w:firstLineChars="200"/>
        <w:rPr>
          <w:rFonts w:hint="default" w:eastAsia="宋体"/>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三、</w:t>
      </w:r>
      <w:r>
        <w:rPr>
          <w:rFonts w:hint="eastAsia"/>
          <w:color w:val="000000" w:themeColor="text1"/>
          <w:sz w:val="28"/>
          <w:szCs w:val="28"/>
          <w14:textFill>
            <w14:solidFill>
              <w14:schemeClr w14:val="tx1"/>
            </w14:solidFill>
          </w14:textFill>
        </w:rPr>
        <w:t>实施“居家办公”和“A/B岗和A/B地隔离”工作制</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保障员工生命健康</w:t>
      </w:r>
    </w:p>
    <w:p>
      <w:pPr>
        <w:spacing w:line="52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“居家办公”主要针对所有前台业务端和研究所员工，公司要求其在家办公期间保证通讯畅通，积极履行各自客户服务职能，并填写办公日志，以保证在家办公的实际效果。</w:t>
      </w:r>
    </w:p>
    <w:p>
      <w:pPr>
        <w:spacing w:line="52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针对后台管理部门，根据职能不同，公司</w:t>
      </w:r>
      <w:r>
        <w:rPr>
          <w:color w:val="000000" w:themeColor="text1"/>
          <w:sz w:val="28"/>
          <w:szCs w:val="28"/>
          <w14:textFill>
            <w14:solidFill>
              <w14:schemeClr w14:val="tx1"/>
            </w14:solidFill>
          </w14:textFill>
        </w:rPr>
        <w:t>采取</w:t>
      </w:r>
      <w:r>
        <w:rPr>
          <w:rFonts w:hint="eastAsia"/>
          <w:color w:val="000000" w:themeColor="text1"/>
          <w:sz w:val="28"/>
          <w:szCs w:val="28"/>
          <w14:textFill>
            <w14:solidFill>
              <w14:schemeClr w14:val="tx1"/>
            </w14:solidFill>
          </w14:textFill>
        </w:rPr>
        <w:t>A</w:t>
      </w:r>
      <w:r>
        <w:rPr>
          <w:color w:val="000000" w:themeColor="text1"/>
          <w:sz w:val="28"/>
          <w:szCs w:val="28"/>
          <w14:textFill>
            <w14:solidFill>
              <w14:schemeClr w14:val="tx1"/>
            </w14:solidFill>
          </w14:textFill>
        </w:rPr>
        <w:t>/B</w:t>
      </w:r>
      <w:r>
        <w:rPr>
          <w:rFonts w:hint="eastAsia"/>
          <w:color w:val="000000" w:themeColor="text1"/>
          <w:sz w:val="28"/>
          <w:szCs w:val="28"/>
          <w14:textFill>
            <w14:solidFill>
              <w14:schemeClr w14:val="tx1"/>
            </w14:solidFill>
          </w14:textFill>
        </w:rPr>
        <w:t>岗和A</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B两地</w:t>
      </w:r>
      <w:r>
        <w:rPr>
          <w:color w:val="000000" w:themeColor="text1"/>
          <w:sz w:val="28"/>
          <w:szCs w:val="28"/>
          <w14:textFill>
            <w14:solidFill>
              <w14:schemeClr w14:val="tx1"/>
            </w14:solidFill>
          </w14:textFill>
        </w:rPr>
        <w:t>办公两种方式，其中</w:t>
      </w:r>
      <w:r>
        <w:rPr>
          <w:rFonts w:hint="eastAsia"/>
          <w:color w:val="000000" w:themeColor="text1"/>
          <w:sz w:val="28"/>
          <w:szCs w:val="28"/>
          <w14:textFill>
            <w14:solidFill>
              <w14:schemeClr w14:val="tx1"/>
            </w14:solidFill>
          </w14:textFill>
        </w:rPr>
        <w:t>A/B岗实行两班或三班轮换工作制； A</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B地则是启用张江、金桥备用工作场地</w:t>
      </w:r>
      <w:r>
        <w:rPr>
          <w:color w:val="000000" w:themeColor="text1"/>
          <w:sz w:val="28"/>
          <w:szCs w:val="28"/>
          <w14:textFill>
            <w14:solidFill>
              <w14:schemeClr w14:val="tx1"/>
            </w14:solidFill>
          </w14:textFill>
        </w:rPr>
        <w:t>分流总部办公人员</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为保证</w:t>
      </w:r>
      <w:r>
        <w:rPr>
          <w:rFonts w:hint="eastAsia"/>
          <w:color w:val="000000" w:themeColor="text1"/>
          <w:sz w:val="28"/>
          <w:szCs w:val="28"/>
          <w14:textFill>
            <w14:solidFill>
              <w14:schemeClr w14:val="tx1"/>
            </w14:solidFill>
          </w14:textFill>
        </w:rPr>
        <w:t>A</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B地人员的通行安全，公司还在总部和张江、金桥工作场地之间准备了通行交通车辆。</w:t>
      </w:r>
    </w:p>
    <w:p>
      <w:pPr>
        <w:spacing w:line="520" w:lineRule="exact"/>
        <w:ind w:firstLine="560" w:firstLineChars="200"/>
        <w:rPr>
          <w:rFonts w:hint="eastAsia" w:ascii="宋体" w:hAnsi="宋体"/>
          <w:sz w:val="30"/>
          <w:szCs w:val="30"/>
        </w:rPr>
      </w:pPr>
      <w:r>
        <w:rPr>
          <w:rFonts w:hint="eastAsia"/>
          <w:color w:val="000000" w:themeColor="text1"/>
          <w:sz w:val="28"/>
          <w:szCs w:val="28"/>
          <w14:textFill>
            <w14:solidFill>
              <w14:schemeClr w14:val="tx1"/>
            </w14:solidFill>
          </w14:textFill>
        </w:rPr>
        <w:t>这些</w:t>
      </w:r>
      <w:r>
        <w:rPr>
          <w:color w:val="000000" w:themeColor="text1"/>
          <w:sz w:val="28"/>
          <w:szCs w:val="28"/>
          <w14:textFill>
            <w14:solidFill>
              <w14:schemeClr w14:val="tx1"/>
            </w14:solidFill>
          </w14:textFill>
        </w:rPr>
        <w:t>措施的推行，使得公司静安总部</w:t>
      </w:r>
      <w:r>
        <w:rPr>
          <w:rFonts w:hint="eastAsia"/>
          <w:color w:val="000000" w:themeColor="text1"/>
          <w:sz w:val="28"/>
          <w:szCs w:val="28"/>
          <w14:textFill>
            <w14:solidFill>
              <w14:schemeClr w14:val="tx1"/>
            </w14:solidFill>
          </w14:textFill>
        </w:rPr>
        <w:t>疫情高危期间现场</w:t>
      </w:r>
      <w:r>
        <w:rPr>
          <w:color w:val="000000" w:themeColor="text1"/>
          <w:sz w:val="28"/>
          <w:szCs w:val="28"/>
          <w14:textFill>
            <w14:solidFill>
              <w14:schemeClr w14:val="tx1"/>
            </w14:solidFill>
          </w14:textFill>
        </w:rPr>
        <w:t>办公人员由</w:t>
      </w:r>
      <w:r>
        <w:rPr>
          <w:rFonts w:hint="eastAsia"/>
          <w:color w:val="000000" w:themeColor="text1"/>
          <w:sz w:val="28"/>
          <w:szCs w:val="28"/>
          <w14:textFill>
            <w14:solidFill>
              <w14:schemeClr w14:val="tx1"/>
            </w14:solidFill>
          </w14:textFill>
        </w:rPr>
        <w:t>220人下降到40人左右，下降幅度达80%以上；分支机构更是在疫情紧急期间现场办公只保留了后台管理人员。办公人数的降低，有力确保了公司各办公地始终处于低风险运行中。A</w:t>
      </w:r>
      <w:r>
        <w:rPr>
          <w:color w:val="000000" w:themeColor="text1"/>
          <w:sz w:val="28"/>
          <w:szCs w:val="28"/>
          <w14:textFill>
            <w14:solidFill>
              <w14:schemeClr w14:val="tx1"/>
            </w14:solidFill>
          </w14:textFill>
        </w:rPr>
        <w:t>/B</w:t>
      </w:r>
      <w:r>
        <w:rPr>
          <w:rFonts w:hint="eastAsia"/>
          <w:color w:val="000000" w:themeColor="text1"/>
          <w:sz w:val="28"/>
          <w:szCs w:val="28"/>
          <w14:textFill>
            <w14:solidFill>
              <w14:schemeClr w14:val="tx1"/>
            </w14:solidFill>
          </w14:textFill>
        </w:rPr>
        <w:t>岗和A</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B地模式有力确保公司核心管理部门人员备份充分，始终留有应对最极端风险状况的余力。</w:t>
      </w:r>
    </w:p>
    <w:p>
      <w:pPr>
        <w:pStyle w:val="2"/>
        <w:keepNext w:val="0"/>
        <w:keepLines w:val="0"/>
        <w:pageBreakBefore w:val="0"/>
        <w:kinsoku/>
        <w:wordWrap/>
        <w:overflowPunct/>
        <w:topLinePunct w:val="0"/>
        <w:autoSpaceDE/>
        <w:autoSpaceDN/>
        <w:bidi w:val="0"/>
        <w:adjustRightInd/>
        <w:snapToGrid/>
        <w:spacing w:before="0" w:after="0" w:line="520" w:lineRule="exact"/>
        <w:rPr>
          <w:highlight w:val="none"/>
        </w:rPr>
      </w:pPr>
      <w:bookmarkStart w:id="28" w:name="_Toc38626404"/>
      <w:r>
        <w:rPr>
          <w:rFonts w:hint="eastAsia"/>
          <w:highlight w:val="none"/>
        </w:rPr>
        <w:t>6.3 员工权利</w:t>
      </w:r>
      <w:bookmarkEnd w:id="28"/>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28"/>
          <w:szCs w:val="28"/>
          <w:highlight w:val="none"/>
        </w:rPr>
      </w:pPr>
      <w:r>
        <w:rPr>
          <w:rFonts w:hint="eastAsia" w:ascii="宋体" w:hAnsi="宋体"/>
          <w:sz w:val="28"/>
          <w:szCs w:val="28"/>
          <w:highlight w:val="none"/>
        </w:rPr>
        <w:t>公司日常治理中，在上级党、工、团等组织帮助下，严格履行法定义务，结合两新组织特点，</w:t>
      </w:r>
      <w:r>
        <w:rPr>
          <w:rFonts w:hint="eastAsia" w:ascii="宋体" w:hAnsi="宋体"/>
          <w:sz w:val="28"/>
          <w:szCs w:val="28"/>
          <w:highlight w:val="none"/>
          <w:lang w:val="en-US" w:eastAsia="zh-CN"/>
        </w:rPr>
        <w:t>保障党支部政治核心地位，依靠党工团组织，</w:t>
      </w:r>
      <w:r>
        <w:rPr>
          <w:rFonts w:hint="eastAsia" w:ascii="宋体" w:hAnsi="宋体"/>
          <w:sz w:val="28"/>
          <w:szCs w:val="28"/>
          <w:highlight w:val="none"/>
        </w:rPr>
        <w:t>不断探索企业民主治理合理方式，</w:t>
      </w:r>
      <w:r>
        <w:rPr>
          <w:rFonts w:hint="eastAsia" w:ascii="宋体" w:hAnsi="宋体"/>
          <w:sz w:val="28"/>
          <w:szCs w:val="28"/>
          <w:highlight w:val="none"/>
          <w:lang w:val="en-US" w:eastAsia="zh-CN"/>
        </w:rPr>
        <w:t>全面</w:t>
      </w:r>
      <w:r>
        <w:rPr>
          <w:rFonts w:hint="eastAsia" w:ascii="宋体" w:hAnsi="宋体"/>
          <w:sz w:val="28"/>
          <w:szCs w:val="28"/>
          <w:highlight w:val="none"/>
        </w:rPr>
        <w:t>保障员工的知情权、参与权和监督权，上下级沟通渠道顺畅，员工职业生涯发展和企业长期发展形成互为促进的局面。</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28"/>
          <w:szCs w:val="28"/>
          <w:highlight w:val="none"/>
        </w:rPr>
      </w:pPr>
      <w:r>
        <w:rPr>
          <w:rFonts w:hint="eastAsia" w:ascii="宋体" w:hAnsi="宋体"/>
          <w:sz w:val="28"/>
          <w:szCs w:val="28"/>
          <w:highlight w:val="none"/>
          <w:lang w:val="en-US" w:eastAsia="zh-CN"/>
        </w:rPr>
        <w:t>公司依法保障</w:t>
      </w:r>
      <w:r>
        <w:rPr>
          <w:rFonts w:hint="eastAsia" w:ascii="宋体" w:hAnsi="宋体"/>
          <w:sz w:val="28"/>
          <w:szCs w:val="28"/>
          <w:highlight w:val="none"/>
        </w:rPr>
        <w:t>员工合法权益，严格贯彻落实《劳动法》和《劳动合同法》，为员工提供合法和符合公司实际的福利与待遇，依法为员工缴纳各项社会保险。公司关注女职工权益，给予孕期和哺乳期女职工必要的照顾，并适当减轻其工作压力。</w:t>
      </w:r>
    </w:p>
    <w:p>
      <w:pPr>
        <w:keepNext w:val="0"/>
        <w:keepLines w:val="0"/>
        <w:pageBreakBefore w:val="0"/>
        <w:kinsoku/>
        <w:wordWrap/>
        <w:overflowPunct/>
        <w:topLinePunct w:val="0"/>
        <w:autoSpaceDE/>
        <w:autoSpaceDN/>
        <w:bidi w:val="0"/>
        <w:adjustRightInd/>
        <w:snapToGrid/>
        <w:spacing w:line="520" w:lineRule="exact"/>
        <w:rPr>
          <w:rFonts w:ascii="宋体" w:hAnsi="宋体"/>
          <w:sz w:val="30"/>
          <w:szCs w:val="30"/>
        </w:rPr>
      </w:pPr>
      <w:bookmarkStart w:id="29" w:name="_Toc512350879"/>
      <w:r>
        <w:rPr>
          <w:rFonts w:hint="eastAsia" w:ascii="宋体" w:hAnsi="宋体"/>
          <w:sz w:val="30"/>
          <w:szCs w:val="30"/>
        </w:rPr>
        <w:t>6.3.1</w:t>
      </w:r>
      <w:r>
        <w:rPr>
          <w:rFonts w:hint="eastAsia" w:ascii="宋体" w:hAnsi="宋体"/>
          <w:sz w:val="28"/>
          <w:szCs w:val="28"/>
        </w:rPr>
        <w:t>工会组织现状及作用</w:t>
      </w:r>
    </w:p>
    <w:p>
      <w:pPr>
        <w:keepNext w:val="0"/>
        <w:keepLines w:val="0"/>
        <w:pageBreakBefore w:val="0"/>
        <w:kinsoku/>
        <w:wordWrap/>
        <w:overflowPunct/>
        <w:topLinePunct w:val="0"/>
        <w:autoSpaceDE/>
        <w:autoSpaceDN/>
        <w:bidi w:val="0"/>
        <w:adjustRightInd/>
        <w:snapToGrid/>
        <w:spacing w:line="520" w:lineRule="exact"/>
        <w:ind w:firstLine="600"/>
        <w:rPr>
          <w:rFonts w:ascii="宋体" w:hAnsi="宋体"/>
          <w:sz w:val="28"/>
          <w:szCs w:val="28"/>
        </w:rPr>
      </w:pPr>
      <w:r>
        <w:rPr>
          <w:rFonts w:hint="eastAsia" w:ascii="宋体" w:hAnsi="宋体"/>
          <w:sz w:val="28"/>
          <w:szCs w:val="28"/>
        </w:rPr>
        <w:t>公司于2014年底建立工会组织，2018年9月进行了工会换届，2019年3月召开第二届职工代表大会第一次会议。公司坚决维护工会组织的法定地位，保障和维护工会依法行使权力。20</w:t>
      </w:r>
      <w:r>
        <w:rPr>
          <w:rFonts w:hint="eastAsia" w:ascii="宋体" w:hAnsi="宋体"/>
          <w:sz w:val="28"/>
          <w:szCs w:val="28"/>
          <w:lang w:val="en-US" w:eastAsia="zh-CN"/>
        </w:rPr>
        <w:t>20</w:t>
      </w:r>
      <w:r>
        <w:rPr>
          <w:rFonts w:hint="eastAsia" w:ascii="宋体" w:hAnsi="宋体"/>
          <w:sz w:val="28"/>
          <w:szCs w:val="28"/>
        </w:rPr>
        <w:t>年，公司工会主要在企业治理参与、企业文化建设两大块内容作出了亮点。</w:t>
      </w:r>
    </w:p>
    <w:bookmarkEnd w:id="29"/>
    <w:p>
      <w:pPr>
        <w:keepNext w:val="0"/>
        <w:keepLines w:val="0"/>
        <w:pageBreakBefore w:val="0"/>
        <w:kinsoku/>
        <w:wordWrap/>
        <w:overflowPunct/>
        <w:topLinePunct w:val="0"/>
        <w:autoSpaceDE/>
        <w:autoSpaceDN/>
        <w:bidi w:val="0"/>
        <w:adjustRightInd/>
        <w:snapToGrid/>
        <w:spacing w:line="520" w:lineRule="exact"/>
        <w:ind w:firstLine="600"/>
        <w:rPr>
          <w:rFonts w:ascii="宋体" w:hAnsi="宋体"/>
          <w:sz w:val="28"/>
          <w:szCs w:val="28"/>
        </w:rPr>
      </w:pPr>
      <w:r>
        <w:rPr>
          <w:rFonts w:hint="eastAsia" w:ascii="宋体" w:hAnsi="宋体"/>
          <w:sz w:val="28"/>
          <w:szCs w:val="28"/>
        </w:rPr>
        <w:t>企业治理参与方面：</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sz w:val="28"/>
          <w:szCs w:val="28"/>
        </w:rPr>
      </w:pPr>
      <w:r>
        <w:rPr>
          <w:rFonts w:hint="eastAsia" w:ascii="宋体" w:hAnsi="宋体"/>
          <w:sz w:val="28"/>
          <w:szCs w:val="28"/>
        </w:rPr>
        <w:t>一是</w:t>
      </w:r>
      <w:r>
        <w:rPr>
          <w:rFonts w:hint="eastAsia" w:ascii="宋体" w:hAnsi="宋体" w:eastAsia="宋体" w:cs="宋体"/>
          <w:color w:val="000000"/>
          <w:kern w:val="2"/>
          <w:sz w:val="28"/>
          <w:szCs w:val="28"/>
          <w:shd w:val="clear" w:color="auto" w:fill="FFFFFF"/>
          <w:lang w:val="en-US" w:eastAsia="zh-CN" w:bidi="ar"/>
        </w:rPr>
        <w:t>公司工会</w:t>
      </w:r>
      <w:r>
        <w:rPr>
          <w:rFonts w:hint="eastAsia" w:ascii="宋体" w:hAnsi="宋体" w:cs="宋体"/>
          <w:color w:val="000000"/>
          <w:kern w:val="2"/>
          <w:sz w:val="28"/>
          <w:szCs w:val="28"/>
          <w:shd w:val="clear" w:color="auto" w:fill="FFFFFF"/>
          <w:lang w:val="en-US" w:eastAsia="zh-CN" w:bidi="ar"/>
        </w:rPr>
        <w:t>依法接受公司党组织指导</w:t>
      </w:r>
      <w:r>
        <w:rPr>
          <w:rFonts w:hint="eastAsia" w:ascii="宋体" w:hAnsi="宋体" w:eastAsia="宋体" w:cs="宋体"/>
          <w:color w:val="000000"/>
          <w:kern w:val="2"/>
          <w:sz w:val="28"/>
          <w:szCs w:val="28"/>
          <w:shd w:val="clear" w:color="auto" w:fill="FFFFFF"/>
          <w:lang w:val="en-US" w:eastAsia="zh-CN" w:bidi="ar"/>
        </w:rPr>
        <w:t>。公司严格履行《工会法》，由公司党组织提名、职工代表大会审议向公司监事会派出职工代表（高磊/吴红赭、入党积极分子）。凡涉及监事会事务，职工代表均向党组织和职工大会汇报。公司党支部和工会在监事会工作中，积极维护职工合法权益，对公司重大战略决策进行监督和管理，使得公司多年来在“稳岗就业”、职工权益维护、职工再教育开展、疫情期间“不降薪、不裁员”、促进公司履行残疾人就业等事务上发挥了重大作用，使公司在这些工作中走在了行业前列。</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lang w:val="en-US" w:eastAsia="zh-CN"/>
        </w:rPr>
        <w:t>二是</w:t>
      </w:r>
      <w:r>
        <w:rPr>
          <w:rFonts w:hint="eastAsia" w:ascii="宋体" w:hAnsi="宋体"/>
          <w:sz w:val="28"/>
          <w:szCs w:val="28"/>
        </w:rPr>
        <w:t>推进公司制度建设。20</w:t>
      </w:r>
      <w:r>
        <w:rPr>
          <w:rFonts w:hint="eastAsia" w:ascii="宋体" w:hAnsi="宋体"/>
          <w:sz w:val="28"/>
          <w:szCs w:val="28"/>
          <w:lang w:val="en-US" w:eastAsia="zh-CN"/>
        </w:rPr>
        <w:t>20</w:t>
      </w:r>
      <w:r>
        <w:rPr>
          <w:rFonts w:hint="eastAsia" w:ascii="宋体" w:hAnsi="宋体"/>
          <w:sz w:val="28"/>
          <w:szCs w:val="28"/>
        </w:rPr>
        <w:t>年内，工会积极维护职工各项合法权利，确保《集体合同》、《工资集体合同》、《女职工特殊利益专项集体合同》、《工资协商要约书》等集体劳资合同得到贯彻，涉及职工利益的制度均职代会讨论并表决。同时，工会深度参与各项人事政策制定，维护职工合法权益，主动构建劳资对话渠道，增进高中低层员工了解，打造别具魅力的企业和谐氛围。</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sz w:val="28"/>
          <w:szCs w:val="28"/>
          <w:lang w:eastAsia="zh-CN"/>
        </w:rPr>
      </w:pPr>
      <w:r>
        <w:rPr>
          <w:rFonts w:hint="eastAsia" w:ascii="宋体" w:hAnsi="宋体"/>
          <w:sz w:val="28"/>
          <w:szCs w:val="28"/>
          <w:lang w:val="en-US" w:eastAsia="zh-CN"/>
        </w:rPr>
        <w:t>三</w:t>
      </w:r>
      <w:r>
        <w:rPr>
          <w:rFonts w:hint="eastAsia" w:ascii="宋体" w:hAnsi="宋体"/>
          <w:sz w:val="28"/>
          <w:szCs w:val="28"/>
        </w:rPr>
        <w:t>是以立功竞赛推动公司重点项目。</w:t>
      </w:r>
      <w:r>
        <w:rPr>
          <w:rFonts w:hint="eastAsia" w:ascii="宋体" w:hAnsi="宋体" w:eastAsia="宋体"/>
          <w:sz w:val="28"/>
          <w:szCs w:val="28"/>
          <w:lang w:val="en-US" w:eastAsia="zh-CN"/>
        </w:rPr>
        <w:t>2020年，在</w:t>
      </w:r>
      <w:r>
        <w:rPr>
          <w:rFonts w:hint="eastAsia" w:ascii="宋体" w:hAnsi="宋体" w:eastAsia="宋体"/>
          <w:sz w:val="28"/>
          <w:szCs w:val="28"/>
        </w:rPr>
        <w:t>中共上海市金融工作委员会</w:t>
      </w:r>
      <w:r>
        <w:rPr>
          <w:rFonts w:hint="eastAsia" w:ascii="宋体" w:hAnsi="宋体" w:eastAsia="宋体"/>
          <w:sz w:val="28"/>
          <w:szCs w:val="28"/>
          <w:lang w:val="en-US" w:eastAsia="zh-CN"/>
        </w:rPr>
        <w:t>指导和上海市期货同业公会帮助下</w:t>
      </w:r>
      <w:r>
        <w:rPr>
          <w:rFonts w:hint="eastAsia" w:ascii="宋体" w:hAnsi="宋体" w:eastAsia="宋体"/>
          <w:sz w:val="28"/>
          <w:szCs w:val="28"/>
        </w:rPr>
        <w:t>，新湖期货</w:t>
      </w:r>
      <w:r>
        <w:rPr>
          <w:rFonts w:hint="eastAsia" w:ascii="宋体" w:hAnsi="宋体" w:eastAsia="宋体"/>
          <w:sz w:val="28"/>
          <w:szCs w:val="28"/>
          <w:lang w:val="en-US" w:eastAsia="zh-CN"/>
        </w:rPr>
        <w:t>股份</w:t>
      </w:r>
      <w:r>
        <w:rPr>
          <w:rFonts w:hint="eastAsia" w:ascii="宋体" w:hAnsi="宋体" w:eastAsia="宋体"/>
          <w:sz w:val="28"/>
          <w:szCs w:val="28"/>
        </w:rPr>
        <w:t>有限公司工会牵头，</w:t>
      </w:r>
      <w:r>
        <w:rPr>
          <w:rFonts w:hint="eastAsia" w:ascii="宋体" w:hAnsi="宋体" w:eastAsia="宋体"/>
          <w:sz w:val="28"/>
          <w:szCs w:val="28"/>
          <w:lang w:val="en-US" w:eastAsia="zh-CN"/>
        </w:rPr>
        <w:t>围绕上海“三大任务一大平台”和建设“五个中心”，立足抗击新冠疫情、保障金融安全，</w:t>
      </w:r>
      <w:r>
        <w:rPr>
          <w:rFonts w:hint="eastAsia" w:ascii="宋体" w:hAnsi="宋体" w:eastAsia="宋体"/>
          <w:sz w:val="28"/>
          <w:szCs w:val="28"/>
        </w:rPr>
        <w:t>组织新湖期货</w:t>
      </w:r>
      <w:r>
        <w:rPr>
          <w:rFonts w:hint="eastAsia" w:ascii="宋体" w:hAnsi="宋体" w:eastAsia="宋体"/>
          <w:sz w:val="28"/>
          <w:szCs w:val="28"/>
          <w:lang w:val="en-US" w:eastAsia="zh-CN"/>
        </w:rPr>
        <w:t>股份</w:t>
      </w:r>
      <w:r>
        <w:rPr>
          <w:rFonts w:hint="eastAsia" w:ascii="宋体" w:hAnsi="宋体" w:eastAsia="宋体"/>
          <w:sz w:val="28"/>
          <w:szCs w:val="28"/>
        </w:rPr>
        <w:t>有限公司</w:t>
      </w:r>
      <w:r>
        <w:rPr>
          <w:rFonts w:hint="eastAsia" w:ascii="宋体" w:hAnsi="宋体" w:eastAsia="宋体"/>
          <w:sz w:val="28"/>
          <w:szCs w:val="28"/>
          <w:lang w:val="en-US" w:eastAsia="zh-CN"/>
        </w:rPr>
        <w:t>全体部门和职工深入开展</w:t>
      </w:r>
      <w:r>
        <w:rPr>
          <w:rFonts w:hint="eastAsia" w:ascii="宋体" w:hAnsi="宋体" w:eastAsia="宋体"/>
          <w:sz w:val="28"/>
          <w:szCs w:val="28"/>
        </w:rPr>
        <w:t>2020年度上海金融职工立功竞赛活动</w:t>
      </w:r>
      <w:r>
        <w:rPr>
          <w:rFonts w:hint="eastAsia" w:ascii="宋体" w:hAnsi="宋体" w:eastAsia="宋体"/>
          <w:sz w:val="28"/>
          <w:szCs w:val="28"/>
          <w:lang w:eastAsia="zh-CN"/>
        </w:rPr>
        <w:t>。</w:t>
      </w:r>
      <w:r>
        <w:rPr>
          <w:rFonts w:hint="eastAsia" w:ascii="宋体" w:hAnsi="宋体" w:eastAsia="宋体"/>
          <w:sz w:val="28"/>
          <w:szCs w:val="28"/>
          <w:lang w:val="en-US" w:eastAsia="zh-CN"/>
        </w:rPr>
        <w:t>在本年度的活动中，新湖期货股份有限公司工会与新湖期货股份有限公司评优部门综合管理部密切协调，将立功竞赛与公司年度评优进行深度结合，构建了部门评优申报→公司年度评优→立功竞赛申报的三级体系，使得本年度立功竞赛活动发生了极大改进，进而对公司落实</w:t>
      </w:r>
      <w:r>
        <w:rPr>
          <w:rFonts w:hint="eastAsia" w:ascii="宋体" w:hAnsi="宋体"/>
          <w:sz w:val="28"/>
          <w:szCs w:val="28"/>
          <w:lang w:val="en-US" w:eastAsia="zh-CN"/>
        </w:rPr>
        <w:t>“1+6”增值业务发展战略和“五线四板块”专业驱动发展规划起到极大地助推作用，形成了“以活动促工作，以工作带活动”的良好局面。公司和工会原计划</w:t>
      </w:r>
      <w:r>
        <w:rPr>
          <w:rFonts w:hint="eastAsia" w:ascii="宋体" w:hAnsi="宋体" w:eastAsia="宋体"/>
          <w:sz w:val="28"/>
          <w:szCs w:val="28"/>
          <w:lang w:val="en-US" w:eastAsia="zh-CN"/>
        </w:rPr>
        <w:t>动员评优竞赛参与人约100人次左右，团队参与约20个左右，形成创新项目5个，最终实际参与人数达458人，团队参与数达42个，形成创新项目19个，分别超越计划358%、110%和380%，大大超过公司工会的预期</w:t>
      </w:r>
      <w:r>
        <w:rPr>
          <w:rFonts w:hint="eastAsia" w:ascii="宋体" w:hAnsi="宋体"/>
          <w:sz w:val="28"/>
          <w:szCs w:val="28"/>
          <w:lang w:val="en-US" w:eastAsia="zh-CN"/>
        </w:rPr>
        <w:t>，</w:t>
      </w:r>
      <w:r>
        <w:rPr>
          <w:rFonts w:hint="eastAsia" w:ascii="宋体" w:hAnsi="宋体"/>
          <w:sz w:val="28"/>
          <w:szCs w:val="28"/>
        </w:rPr>
        <w:t>最终形成了公司所有部门参加活动的良好局面</w:t>
      </w:r>
      <w:r>
        <w:rPr>
          <w:rFonts w:hint="eastAsia" w:ascii="宋体" w:hAnsi="宋体"/>
          <w:sz w:val="28"/>
          <w:szCs w:val="28"/>
          <w:lang w:eastAsia="zh-CN"/>
        </w:rPr>
        <w:t>，</w:t>
      </w:r>
      <w:r>
        <w:rPr>
          <w:rFonts w:hint="eastAsia" w:ascii="宋体" w:hAnsi="宋体"/>
          <w:sz w:val="28"/>
          <w:szCs w:val="28"/>
          <w:lang w:val="en-US" w:eastAsia="zh-CN"/>
        </w:rPr>
        <w:t>在</w:t>
      </w:r>
      <w:r>
        <w:rPr>
          <w:rFonts w:hint="eastAsia" w:ascii="宋体" w:hAnsi="宋体" w:eastAsia="宋体"/>
          <w:sz w:val="28"/>
          <w:szCs w:val="28"/>
        </w:rPr>
        <w:t>服务实体经济</w:t>
      </w:r>
      <w:r>
        <w:rPr>
          <w:rFonts w:hint="eastAsia" w:ascii="宋体" w:hAnsi="宋体" w:eastAsia="宋体"/>
          <w:sz w:val="28"/>
          <w:szCs w:val="28"/>
          <w:lang w:eastAsia="zh-CN"/>
        </w:rPr>
        <w:t>、</w:t>
      </w:r>
      <w:r>
        <w:rPr>
          <w:rFonts w:hint="eastAsia" w:ascii="宋体" w:hAnsi="宋体" w:eastAsia="宋体"/>
          <w:sz w:val="28"/>
          <w:szCs w:val="28"/>
          <w:lang w:val="en-US" w:eastAsia="zh-CN"/>
        </w:rPr>
        <w:t>服务“三农”</w:t>
      </w:r>
      <w:r>
        <w:rPr>
          <w:rFonts w:hint="eastAsia" w:ascii="宋体" w:hAnsi="宋体" w:eastAsia="宋体"/>
          <w:sz w:val="28"/>
          <w:szCs w:val="28"/>
        </w:rPr>
        <w:t>、</w:t>
      </w:r>
      <w:r>
        <w:rPr>
          <w:rFonts w:hint="eastAsia" w:ascii="宋体" w:hAnsi="宋体" w:eastAsia="宋体"/>
          <w:sz w:val="28"/>
          <w:szCs w:val="28"/>
          <w:lang w:val="en-US" w:eastAsia="zh-CN"/>
        </w:rPr>
        <w:t>降低金融风险、防疫抗疫方面，涌现出了一批优秀集体和先进个人</w:t>
      </w:r>
      <w:r>
        <w:rPr>
          <w:rFonts w:hint="eastAsia" w:ascii="宋体" w:hAnsi="宋体"/>
          <w:sz w:val="28"/>
          <w:szCs w:val="28"/>
          <w:lang w:val="en-US"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sz w:val="28"/>
          <w:szCs w:val="28"/>
        </w:rPr>
      </w:pPr>
      <w:r>
        <w:rPr>
          <w:rFonts w:hint="eastAsia" w:ascii="宋体" w:hAnsi="宋体" w:cs="宋体"/>
          <w:sz w:val="28"/>
          <w:szCs w:val="28"/>
        </w:rPr>
        <w:t>企业文化建设方面：</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sz w:val="28"/>
          <w:szCs w:val="28"/>
        </w:rPr>
      </w:pPr>
      <w:r>
        <w:rPr>
          <w:rFonts w:hint="eastAsia" w:ascii="宋体" w:hAnsi="宋体" w:cs="宋体"/>
          <w:sz w:val="28"/>
          <w:szCs w:val="28"/>
        </w:rPr>
        <w:t>公司工会重视搭建企业文化载体平台，强调以活动促进企业和谐氛围建设。在工会活动中，注重管理层和基层员工对话以及跨部门对话，树立企业共同理想和价值观念，增进彼此了解和友谊，推动形成全公司一致、积极进步的行为操守，不断增进集体感召力和凝聚力。20</w:t>
      </w:r>
      <w:r>
        <w:rPr>
          <w:rFonts w:hint="eastAsia" w:ascii="宋体" w:hAnsi="宋体" w:cs="宋体"/>
          <w:sz w:val="28"/>
          <w:szCs w:val="28"/>
          <w:lang w:val="en-US" w:eastAsia="zh-CN"/>
        </w:rPr>
        <w:t>20</w:t>
      </w:r>
      <w:r>
        <w:rPr>
          <w:rFonts w:hint="eastAsia" w:ascii="宋体" w:hAnsi="宋体" w:cs="宋体"/>
          <w:sz w:val="28"/>
          <w:szCs w:val="28"/>
        </w:rPr>
        <w:t>年内开展了健身走、</w:t>
      </w:r>
      <w:r>
        <w:rPr>
          <w:rFonts w:hint="eastAsia" w:ascii="宋体" w:hAnsi="宋体" w:cs="宋体"/>
          <w:sz w:val="28"/>
          <w:szCs w:val="28"/>
          <w:lang w:val="en-US" w:eastAsia="zh-CN"/>
        </w:rPr>
        <w:t>新员工拓展、</w:t>
      </w:r>
      <w:r>
        <w:rPr>
          <w:rFonts w:hint="eastAsia" w:ascii="宋体" w:hAnsi="宋体" w:cs="宋体"/>
          <w:sz w:val="28"/>
          <w:szCs w:val="28"/>
        </w:rPr>
        <w:t>部门旅游和各种节日慰问活动，均取得了较好的效果。</w:t>
      </w:r>
    </w:p>
    <w:p>
      <w:pPr>
        <w:keepNext w:val="0"/>
        <w:keepLines w:val="0"/>
        <w:pageBreakBefore w:val="0"/>
        <w:kinsoku/>
        <w:wordWrap/>
        <w:overflowPunct/>
        <w:topLinePunct w:val="0"/>
        <w:autoSpaceDE/>
        <w:autoSpaceDN/>
        <w:bidi w:val="0"/>
        <w:adjustRightInd/>
        <w:snapToGrid/>
        <w:spacing w:line="520" w:lineRule="exact"/>
        <w:rPr>
          <w:rFonts w:ascii="宋体" w:hAnsi="宋体"/>
          <w:sz w:val="28"/>
          <w:szCs w:val="28"/>
        </w:rPr>
      </w:pPr>
      <w:r>
        <w:rPr>
          <w:rFonts w:hint="eastAsia" w:ascii="宋体" w:hAnsi="宋体"/>
          <w:sz w:val="30"/>
          <w:szCs w:val="30"/>
        </w:rPr>
        <w:t>6.3.2</w:t>
      </w:r>
      <w:r>
        <w:rPr>
          <w:rFonts w:hint="eastAsia" w:ascii="宋体" w:hAnsi="宋体"/>
          <w:sz w:val="28"/>
          <w:szCs w:val="28"/>
        </w:rPr>
        <w:t>员工权利的保障</w:t>
      </w:r>
    </w:p>
    <w:p>
      <w:pPr>
        <w:keepNext w:val="0"/>
        <w:keepLines w:val="0"/>
        <w:pageBreakBefore w:val="0"/>
        <w:kinsoku/>
        <w:wordWrap/>
        <w:overflowPunct/>
        <w:topLinePunct w:val="0"/>
        <w:autoSpaceDE/>
        <w:autoSpaceDN/>
        <w:bidi w:val="0"/>
        <w:adjustRightInd/>
        <w:snapToGrid/>
        <w:spacing w:line="520" w:lineRule="exact"/>
        <w:ind w:firstLine="560"/>
        <w:rPr>
          <w:rFonts w:hint="default" w:ascii="宋体" w:hAnsi="宋体" w:eastAsia="宋体"/>
          <w:sz w:val="30"/>
          <w:szCs w:val="30"/>
          <w:lang w:val="en-US" w:eastAsia="zh-CN"/>
        </w:rPr>
      </w:pPr>
      <w:r>
        <w:rPr>
          <w:rFonts w:hint="eastAsia" w:ascii="宋体" w:hAnsi="宋体"/>
          <w:sz w:val="28"/>
          <w:szCs w:val="28"/>
        </w:rPr>
        <w:t>公司保障履行职代会制度的履行，20</w:t>
      </w:r>
      <w:r>
        <w:rPr>
          <w:rFonts w:hint="eastAsia" w:ascii="宋体" w:hAnsi="宋体"/>
          <w:sz w:val="28"/>
          <w:szCs w:val="28"/>
          <w:lang w:val="en-US" w:eastAsia="zh-CN"/>
        </w:rPr>
        <w:t>20</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月召开第二届职工代表大会</w:t>
      </w:r>
      <w:r>
        <w:rPr>
          <w:rFonts w:hint="eastAsia" w:ascii="宋体" w:hAnsi="宋体"/>
          <w:sz w:val="28"/>
          <w:szCs w:val="28"/>
          <w:lang w:val="en-US" w:eastAsia="zh-CN"/>
        </w:rPr>
        <w:t>临时</w:t>
      </w:r>
      <w:r>
        <w:rPr>
          <w:rFonts w:hint="eastAsia" w:ascii="宋体" w:hAnsi="宋体"/>
          <w:sz w:val="28"/>
          <w:szCs w:val="28"/>
        </w:rPr>
        <w:t>会议，</w:t>
      </w:r>
      <w:r>
        <w:rPr>
          <w:rFonts w:hint="eastAsia" w:ascii="宋体" w:hAnsi="宋体"/>
          <w:sz w:val="28"/>
          <w:szCs w:val="28"/>
          <w:lang w:val="en-US" w:eastAsia="zh-CN"/>
        </w:rPr>
        <w:t>2020年8月公司召开</w:t>
      </w:r>
      <w:r>
        <w:rPr>
          <w:rFonts w:hint="eastAsia" w:ascii="宋体" w:hAnsi="宋体"/>
          <w:sz w:val="28"/>
          <w:szCs w:val="28"/>
        </w:rPr>
        <w:t>第二届职工代表大会</w:t>
      </w:r>
      <w:r>
        <w:rPr>
          <w:rFonts w:hint="eastAsia" w:ascii="宋体" w:hAnsi="宋体"/>
          <w:sz w:val="28"/>
          <w:szCs w:val="28"/>
          <w:lang w:val="en-US" w:eastAsia="zh-CN"/>
        </w:rPr>
        <w:t>第二次会议，</w:t>
      </w:r>
      <w:r>
        <w:rPr>
          <w:rFonts w:hint="eastAsia" w:ascii="宋体" w:hAnsi="宋体"/>
          <w:sz w:val="28"/>
          <w:szCs w:val="28"/>
        </w:rPr>
        <w:t>凡涉及员工切身利益等重大制度方案均经过职代会审议，职代会在公司治理中的法定权力均得到不折不扣的维护和履行</w:t>
      </w:r>
      <w:r>
        <w:rPr>
          <w:rFonts w:hint="eastAsia" w:ascii="宋体" w:hAnsi="宋体"/>
          <w:sz w:val="28"/>
          <w:szCs w:val="28"/>
          <w:lang w:eastAsia="zh-CN"/>
        </w:rPr>
        <w:t>，</w:t>
      </w:r>
      <w:r>
        <w:rPr>
          <w:rFonts w:hint="eastAsia" w:ascii="宋体" w:hAnsi="宋体"/>
          <w:sz w:val="28"/>
          <w:szCs w:val="28"/>
          <w:lang w:val="en-US" w:eastAsia="zh-CN"/>
        </w:rPr>
        <w:t>职工代表依法在监事会中执行党组织和工会的各项决议意见。</w:t>
      </w:r>
    </w:p>
    <w:p>
      <w:pPr>
        <w:pStyle w:val="2"/>
        <w:keepNext w:val="0"/>
        <w:keepLines w:val="0"/>
        <w:pageBreakBefore w:val="0"/>
        <w:kinsoku/>
        <w:wordWrap/>
        <w:overflowPunct/>
        <w:topLinePunct w:val="0"/>
        <w:autoSpaceDE/>
        <w:autoSpaceDN/>
        <w:bidi w:val="0"/>
        <w:adjustRightInd/>
        <w:snapToGrid/>
        <w:spacing w:before="0" w:after="0" w:line="520" w:lineRule="exact"/>
      </w:pPr>
      <w:bookmarkStart w:id="30" w:name="_Toc38626405"/>
      <w:r>
        <w:rPr>
          <w:rFonts w:hint="eastAsia"/>
        </w:rPr>
        <w:t>6.4 社会影响</w:t>
      </w:r>
      <w:bookmarkEnd w:id="30"/>
    </w:p>
    <w:p>
      <w:pPr>
        <w:keepNext w:val="0"/>
        <w:keepLines w:val="0"/>
        <w:pageBreakBefore w:val="0"/>
        <w:kinsoku/>
        <w:wordWrap/>
        <w:overflowPunct/>
        <w:topLinePunct w:val="0"/>
        <w:autoSpaceDE/>
        <w:autoSpaceDN/>
        <w:bidi w:val="0"/>
        <w:adjustRightInd/>
        <w:snapToGrid/>
        <w:spacing w:line="520" w:lineRule="exact"/>
        <w:rPr>
          <w:rFonts w:ascii="宋体" w:hAnsi="宋体"/>
          <w:sz w:val="30"/>
          <w:szCs w:val="30"/>
        </w:rPr>
      </w:pPr>
      <w:r>
        <w:rPr>
          <w:rFonts w:hint="eastAsia" w:ascii="宋体" w:hAnsi="宋体"/>
          <w:sz w:val="30"/>
          <w:szCs w:val="30"/>
        </w:rPr>
        <w:t>6.4.1与社区的沟通以及为社区贡献</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30"/>
          <w:szCs w:val="30"/>
        </w:rPr>
      </w:pPr>
      <w:r>
        <w:rPr>
          <w:rFonts w:hint="eastAsia" w:ascii="宋体" w:hAnsi="宋体"/>
          <w:sz w:val="30"/>
          <w:szCs w:val="30"/>
        </w:rPr>
        <w:t>公司与天目西路街道（社区）方面始终保持密切联系，积极参与社区共建活动，积极向街道党工委提出自己的意见，协助街道不断实现工作进步。公司党支部、工会、团委均与相关条线同志保持这紧密的联系，在其指导之下开展各项政治群众活动。</w:t>
      </w:r>
      <w:r>
        <w:rPr>
          <w:rFonts w:hint="eastAsia" w:ascii="宋体" w:hAnsi="宋体"/>
          <w:sz w:val="30"/>
          <w:szCs w:val="30"/>
          <w:lang w:val="en-US" w:eastAsia="zh-CN"/>
        </w:rPr>
        <w:t>公司党支部去年累计举行各种公益性活动10场，包括定期慰问孤寡老人、参与各种公益扶贫宣传等。</w:t>
      </w:r>
      <w:r>
        <w:rPr>
          <w:rFonts w:hint="eastAsia" w:ascii="宋体" w:hAnsi="宋体"/>
          <w:sz w:val="30"/>
          <w:szCs w:val="30"/>
        </w:rPr>
        <w:t>20</w:t>
      </w:r>
      <w:r>
        <w:rPr>
          <w:rFonts w:hint="eastAsia" w:ascii="宋体" w:hAnsi="宋体"/>
          <w:sz w:val="30"/>
          <w:szCs w:val="30"/>
          <w:lang w:val="en-US" w:eastAsia="zh-CN"/>
        </w:rPr>
        <w:t>20</w:t>
      </w:r>
      <w:r>
        <w:rPr>
          <w:rFonts w:hint="eastAsia" w:ascii="宋体" w:hAnsi="宋体"/>
          <w:sz w:val="30"/>
          <w:szCs w:val="30"/>
        </w:rPr>
        <w:t>年，公司</w:t>
      </w:r>
      <w:r>
        <w:rPr>
          <w:rFonts w:hint="eastAsia" w:ascii="宋体" w:hAnsi="宋体"/>
          <w:sz w:val="30"/>
          <w:szCs w:val="30"/>
          <w:lang w:val="en-US" w:eastAsia="zh-CN"/>
        </w:rPr>
        <w:t>团支部</w:t>
      </w:r>
      <w:r>
        <w:rPr>
          <w:rFonts w:hint="eastAsia" w:ascii="宋体" w:hAnsi="宋体"/>
          <w:sz w:val="30"/>
          <w:szCs w:val="30"/>
        </w:rPr>
        <w:t>派出3名期货骨干人才，担任天目西路街道社区公益讲师，面向社区宣传金融风险知识。公司</w:t>
      </w:r>
      <w:r>
        <w:rPr>
          <w:rFonts w:hint="eastAsia" w:ascii="宋体" w:hAnsi="宋体"/>
          <w:sz w:val="30"/>
          <w:szCs w:val="30"/>
          <w:lang w:val="en-US" w:eastAsia="zh-CN"/>
        </w:rPr>
        <w:t>工会</w:t>
      </w:r>
      <w:r>
        <w:rPr>
          <w:rFonts w:hint="eastAsia" w:ascii="宋体" w:hAnsi="宋体"/>
          <w:sz w:val="30"/>
          <w:szCs w:val="30"/>
        </w:rPr>
        <w:t>积极参与社区组织的各类党群、团建、文体、联谊等活动，积极派出志愿者，天目西路街道（社区）的各项共建活动中均活跃着新湖期货人的身影。</w:t>
      </w:r>
    </w:p>
    <w:p>
      <w:pPr>
        <w:keepNext w:val="0"/>
        <w:keepLines w:val="0"/>
        <w:pageBreakBefore w:val="0"/>
        <w:kinsoku/>
        <w:wordWrap/>
        <w:overflowPunct/>
        <w:topLinePunct w:val="0"/>
        <w:autoSpaceDE/>
        <w:autoSpaceDN/>
        <w:bidi w:val="0"/>
        <w:adjustRightInd/>
        <w:snapToGrid/>
        <w:spacing w:line="520" w:lineRule="exact"/>
        <w:rPr>
          <w:rFonts w:ascii="宋体" w:hAnsi="宋体"/>
          <w:sz w:val="28"/>
          <w:szCs w:val="28"/>
        </w:rPr>
      </w:pPr>
      <w:r>
        <w:rPr>
          <w:rFonts w:hint="eastAsia" w:ascii="宋体" w:hAnsi="宋体"/>
          <w:sz w:val="28"/>
          <w:szCs w:val="28"/>
        </w:rPr>
        <w:t>6.4.2 良好的商业道德与职业操守</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公司一直奉行规范、规模、创新、发展的经营方针，规范经营是公司的基础和保障。公司充分重视员工的执业行为准则和廉洁从业规范教育，使员工自觉践行良好的商业道德和职业操守。</w:t>
      </w:r>
      <w:r>
        <w:rPr>
          <w:rFonts w:ascii="宋体" w:hAnsi="宋体"/>
          <w:sz w:val="28"/>
          <w:szCs w:val="28"/>
        </w:rPr>
        <w:t xml:space="preserve"> </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（1）内控建设</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公司根据健全性、合理性和相互制约性的原则，建立了公司内部控制制度。公司按照《公司法》、《期货交易管理条例》、《期货公司监督管理办法》，建立股东会、董事会、监事会、经营管理层、各级职能部门的法人治理体系。股东会、董事会、监事会、经理层之间授权明确、职责清晰、相互制衡。</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针对期货行业风险的特点，公司制定了《新湖期货有限公司内部控制及风险管理制度（试行）》，建立了董事会领导下的合规管理架构，明确了董事会、经营管理层、各职能部门、业务部门、分支机构以及各岗位人员的合规职责。</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公司董事会、监事会和经营管理层，按照公司确定的职责分工和权限，对所负责的经营管理活动中的合规事项，负有管理职责和领导责任。</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各职能部门、业务部门、分支机构负责人，对其业务范围内的合规工作负有直接领导责任。</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公司所有人员，应当了解自己的岗位职责及相关的法律、法规和准则，以及公司内部相关的制度和流程。对职责范围内的合规事项，负有充分注意并主动合规的义务；对因违反有关规定而导致的合规风险承担直接责任。同时，员工在日常业务中对合规风险应经常自查自纠，并报告本部门存在的合规风险和问题，配合合规检查，自觉接受合规培训。</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公司合规稽核部作为首席风险领导下的合规管理部门，履行对公司经营和业务活动合规的事前审核、事中监测和事后检查职责，对公司的日常合规管理承担尽职责任。</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（2）诚信与廉洁从业建设</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公司要求员工将公司的声誉与自己的名誉紧密相连，在本职工作中展现出优秀的合规素养和职业道德，做到守法、诚信和正直。员工有责任了解和熟悉与本职工作相关的法律法规和准则，并在工作严格遵守，合法合规地开展各项业务，避免发生违法违规事件。员工代表公司对外开展业务活动，对客户负有诚实信用的义务，应当以勤勉尽责的工作态度，遵从审慎的原则，不得泄露在业务活动中掌握的客户信息。当公司利益和客户利益相冲突时，应当及时、完整地向客户揭示和披露，以客户利益优于公司利益的原则处理；在冲突无法避免时，应确保客户的利益得到公平对待。员工在业务活动中，应恪守正直无私、公正办事。要求员工以服务客户利益、保护客户资产为己任，公正地对待所有客户，不为权势、各种干扰和私利而损害客户利益。</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highlight w:val="none"/>
        </w:rPr>
      </w:pPr>
      <w:r>
        <w:rPr>
          <w:rFonts w:hint="eastAsia" w:ascii="宋体" w:hAnsi="宋体"/>
          <w:sz w:val="28"/>
          <w:szCs w:val="28"/>
          <w:highlight w:val="none"/>
          <w:lang w:val="en-US" w:eastAsia="zh-CN"/>
        </w:rPr>
        <w:t>2020年3月12日，中国期货业协会发布实施《期货经营机构及其工作人员廉洁从业实施细则》（以下简称《实施细则》）。该规定细化了中国证券监督管理委员会2018年6月27日发布实施的《证券期货经营机构及其工作人员廉洁从业规定》</w:t>
      </w:r>
      <w:r>
        <w:rPr>
          <w:rFonts w:ascii="宋体" w:hAnsi="宋体"/>
          <w:sz w:val="28"/>
          <w:szCs w:val="28"/>
          <w:highlight w:val="none"/>
        </w:rPr>
        <w:t>（证监会令【第145号</w:t>
      </w:r>
      <w:r>
        <w:rPr>
          <w:rFonts w:hint="eastAsia" w:ascii="宋体" w:hAnsi="宋体"/>
          <w:sz w:val="28"/>
          <w:szCs w:val="28"/>
          <w:highlight w:val="none"/>
          <w:lang w:eastAsia="zh-CN"/>
        </w:rPr>
        <w:t>】</w:t>
      </w:r>
      <w:r>
        <w:rPr>
          <w:rFonts w:ascii="宋体" w:hAnsi="宋体"/>
          <w:sz w:val="28"/>
          <w:szCs w:val="28"/>
          <w:highlight w:val="none"/>
        </w:rPr>
        <w:t>）</w:t>
      </w:r>
      <w:r>
        <w:rPr>
          <w:rFonts w:hint="eastAsia" w:ascii="宋体" w:hAnsi="宋体"/>
          <w:sz w:val="28"/>
          <w:szCs w:val="28"/>
          <w:highlight w:val="none"/>
          <w:lang w:eastAsia="zh-CN"/>
        </w:rPr>
        <w:t>，</w:t>
      </w:r>
      <w:r>
        <w:rPr>
          <w:rFonts w:hint="eastAsia" w:ascii="宋体" w:hAnsi="宋体"/>
          <w:sz w:val="28"/>
          <w:szCs w:val="28"/>
          <w:highlight w:val="none"/>
          <w:lang w:val="en-US" w:eastAsia="zh-CN"/>
        </w:rPr>
        <w:t>对促进期货行业健康发展，保护投资者合法权益，</w:t>
      </w:r>
      <w:r>
        <w:rPr>
          <w:rFonts w:hint="eastAsia" w:ascii="宋体" w:hAnsi="宋体"/>
          <w:sz w:val="28"/>
          <w:szCs w:val="28"/>
          <w:highlight w:val="none"/>
        </w:rPr>
        <w:t>切实加强证券期货经营机构及其工作人员廉洁从业的监督管理</w:t>
      </w:r>
      <w:r>
        <w:rPr>
          <w:rFonts w:hint="eastAsia" w:ascii="宋体" w:hAnsi="宋体"/>
          <w:sz w:val="28"/>
          <w:szCs w:val="28"/>
          <w:highlight w:val="none"/>
          <w:lang w:val="en-US" w:eastAsia="zh-CN"/>
        </w:rPr>
        <w:t>有着积极的作用。</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 xml:space="preserve">为逐步落实《实施细则》中的相关要求，公司于2020年4月15日对《廉洁从业管理办法》进行修订：将员工范围扩大到劳务派遣人员；增加廉洁从业风险管控工作底稿保存条款，修订原章节各项具体规范的表述。同时，为加强从业人员诚信和廉洁从业意识，于2020年4月17日对公司全体员工进行廉洁从业培训及内容的相关考试。 </w:t>
      </w:r>
    </w:p>
    <w:p>
      <w:pPr>
        <w:keepNext w:val="0"/>
        <w:keepLines w:val="0"/>
        <w:pageBreakBefore w:val="0"/>
        <w:kinsoku/>
        <w:wordWrap/>
        <w:overflowPunct/>
        <w:topLinePunct w:val="0"/>
        <w:autoSpaceDE/>
        <w:autoSpaceDN/>
        <w:bidi w:val="0"/>
        <w:adjustRightInd/>
        <w:snapToGrid/>
        <w:spacing w:line="520" w:lineRule="exact"/>
        <w:ind w:firstLine="280" w:firstLineChars="100"/>
        <w:rPr>
          <w:rFonts w:ascii="宋体" w:hAnsi="宋体"/>
          <w:sz w:val="28"/>
          <w:szCs w:val="28"/>
        </w:rPr>
      </w:pPr>
      <w:r>
        <w:rPr>
          <w:rFonts w:hint="eastAsia" w:ascii="宋体" w:hAnsi="宋体"/>
          <w:sz w:val="28"/>
          <w:szCs w:val="28"/>
          <w:highlight w:val="none"/>
          <w:lang w:val="en-US" w:eastAsia="zh-CN"/>
        </w:rPr>
        <w:t xml:space="preserve"> </w:t>
      </w:r>
      <w:r>
        <w:rPr>
          <w:rFonts w:hint="eastAsia" w:ascii="宋体" w:hAnsi="宋体"/>
          <w:sz w:val="28"/>
          <w:szCs w:val="28"/>
        </w:rPr>
        <w:t>（3）反对商业贿赂</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商业贿赂行为是一种不正当竞争行为。就期货市场而言，商业贿赂造成经营者之间的不平等竞争，破坏了公平竞争秩序，使市场竞争变成贿赂、人情及关系网的恶性博弈，严重败坏了社会道德和行业风气。在防范商业贿赂方面公司一方面严格自律，一方面规范和加强居间人管理，明示居间人及其法律地位，坚决防范公司及其从业人员在客户不知情的情况下给客户的代理人或介绍人返还佣金等情况，有效杜绝了商业贿赂的可能。</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（4）反洗钱</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反洗钱与反恐怖融资是公司作为金融机构必须履行的法定义务。经过不懈努力，</w:t>
      </w:r>
      <w:r>
        <w:rPr>
          <w:rFonts w:ascii="宋体" w:hAnsi="宋体"/>
          <w:sz w:val="28"/>
          <w:szCs w:val="28"/>
        </w:rPr>
        <w:t>公司建立了一系列比较完善的反洗钱内控制度，</w:t>
      </w:r>
      <w:r>
        <w:rPr>
          <w:rFonts w:hint="eastAsia" w:ascii="宋体" w:hAnsi="宋体"/>
          <w:sz w:val="28"/>
          <w:szCs w:val="28"/>
        </w:rPr>
        <w:t>全面覆盖了反洗钱各项规定以及各业务环节；建立了组织健全、结构完整、职责明确的洗钱风险管理架构，规范董事会、监事会、高级管理层、合规稽核部、综合管理部、经济业务管理中心、运营服务中心、</w:t>
      </w:r>
      <w:r>
        <w:rPr>
          <w:rFonts w:hint="eastAsia" w:ascii="宋体" w:hAnsi="宋体"/>
          <w:sz w:val="28"/>
          <w:szCs w:val="28"/>
          <w:lang w:val="en-US" w:eastAsia="zh-CN"/>
        </w:rPr>
        <w:t>资产管理部</w:t>
      </w:r>
      <w:r>
        <w:rPr>
          <w:rFonts w:hint="eastAsia" w:ascii="宋体" w:hAnsi="宋体"/>
          <w:sz w:val="28"/>
          <w:szCs w:val="28"/>
        </w:rPr>
        <w:t>、技术服务中心、研究所、总部业务中心、金融机构事业部、国际业务部、金融创新部、品种事业总部、境内外分支机构和相关附属机构在洗钱风险管理中的职责分工，建立层次清晰、相互协调、有效配合的运行机制。</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sz w:val="28"/>
          <w:szCs w:val="28"/>
        </w:rPr>
      </w:pPr>
      <w:r>
        <w:rPr>
          <w:rFonts w:hint="eastAsia" w:ascii="宋体" w:hAnsi="宋体"/>
          <w:sz w:val="28"/>
          <w:szCs w:val="28"/>
        </w:rPr>
        <w:t>公司严格履行客户身份识别、客户风险等级分类管理、可疑交易监控与分析等各项反洗钱职责；</w:t>
      </w:r>
      <w:r>
        <w:rPr>
          <w:rFonts w:hint="eastAsia" w:ascii="宋体" w:hAnsi="宋体"/>
          <w:sz w:val="28"/>
          <w:szCs w:val="28"/>
          <w:lang w:val="en-US" w:eastAsia="zh-CN"/>
        </w:rPr>
        <w:t>为</w:t>
      </w:r>
      <w:r>
        <w:rPr>
          <w:rFonts w:hint="eastAsia" w:ascii="宋体" w:hAnsi="宋体"/>
          <w:sz w:val="28"/>
          <w:szCs w:val="28"/>
        </w:rPr>
        <w:t>推进反洗钱宣传活动扎实而有效的开展，使广大投资者和社会公众深入了解反洗钱法律法规及相关知识，提升社会公众的反洗钱意识，树立期货行业诚信经营、专业服务、勤勉敬业、和谐发展的良好形象</w:t>
      </w:r>
      <w:r>
        <w:rPr>
          <w:rFonts w:hint="eastAsia" w:ascii="宋体" w:hAnsi="宋体"/>
          <w:sz w:val="28"/>
          <w:szCs w:val="28"/>
          <w:lang w:eastAsia="zh-CN"/>
        </w:rPr>
        <w:t>，</w:t>
      </w:r>
      <w:r>
        <w:rPr>
          <w:rFonts w:hint="eastAsia" w:ascii="宋体" w:hAnsi="宋体"/>
          <w:sz w:val="28"/>
          <w:szCs w:val="28"/>
        </w:rPr>
        <w:t>公司于2020年9月份开展了以“提升‘三反’意识，防范洗钱风险”主题宣传活动的通知”为主题的宣传月活动</w:t>
      </w:r>
      <w:r>
        <w:rPr>
          <w:rFonts w:hint="eastAsia" w:ascii="宋体" w:hAnsi="宋体"/>
          <w:sz w:val="28"/>
          <w:szCs w:val="28"/>
          <w:lang w:eastAsia="zh-CN"/>
        </w:rPr>
        <w:t>；</w:t>
      </w:r>
      <w:r>
        <w:rPr>
          <w:rFonts w:hint="eastAsia" w:ascii="宋体" w:hAnsi="宋体"/>
          <w:sz w:val="28"/>
          <w:szCs w:val="28"/>
          <w:lang w:val="en-US" w:eastAsia="zh-CN"/>
        </w:rPr>
        <w:t>同时，为加强公司反洗钱工作质量，提升公司员工反洗钱意识，2020年度两次对全体员工进行内部培训并组织测试，参与率为100%，并于2020年第四季度在新员工入职培训中加入反洗钱相关内容及课后测试，强化反洗钱意识，牢固树立反洗钱法律责任和依法合规经营的思想。</w:t>
      </w:r>
    </w:p>
    <w:p>
      <w:pPr>
        <w:keepNext w:val="0"/>
        <w:keepLines w:val="0"/>
        <w:pageBreakBefore w:val="0"/>
        <w:kinsoku/>
        <w:wordWrap/>
        <w:overflowPunct/>
        <w:topLinePunct w:val="0"/>
        <w:autoSpaceDE/>
        <w:autoSpaceDN/>
        <w:bidi w:val="0"/>
        <w:adjustRightInd/>
        <w:snapToGrid/>
        <w:spacing w:line="520" w:lineRule="exact"/>
      </w:pPr>
    </w:p>
    <w:p>
      <w:pPr>
        <w:keepNext w:val="0"/>
        <w:keepLines w:val="0"/>
        <w:pageBreakBefore w:val="0"/>
        <w:kinsoku/>
        <w:wordWrap/>
        <w:overflowPunct/>
        <w:topLinePunct w:val="0"/>
        <w:autoSpaceDE/>
        <w:autoSpaceDN/>
        <w:bidi w:val="0"/>
        <w:adjustRightInd/>
        <w:snapToGrid/>
        <w:spacing w:line="520" w:lineRule="exact"/>
        <w:rPr>
          <w:rFonts w:hint="eastAsia" w:ascii="宋体" w:hAnsi="宋体"/>
          <w:sz w:val="30"/>
          <w:szCs w:val="30"/>
        </w:rPr>
      </w:pPr>
      <w:r>
        <w:rPr>
          <w:rFonts w:hint="eastAsia" w:ascii="宋体" w:hAnsi="宋体"/>
          <w:sz w:val="30"/>
          <w:szCs w:val="30"/>
        </w:rPr>
        <w:t>6.4.3 公益及慈善事业</w:t>
      </w:r>
    </w:p>
    <w:p>
      <w:pPr>
        <w:keepNext w:val="0"/>
        <w:keepLines w:val="0"/>
        <w:pageBreakBefore w:val="0"/>
        <w:kinsoku/>
        <w:wordWrap/>
        <w:overflowPunct/>
        <w:topLinePunct w:val="0"/>
        <w:autoSpaceDE/>
        <w:autoSpaceDN/>
        <w:bidi w:val="0"/>
        <w:adjustRightInd/>
        <w:snapToGrid/>
        <w:spacing w:line="520" w:lineRule="exact"/>
        <w:rPr>
          <w:rFonts w:hint="default" w:ascii="宋体" w:hAnsi="宋体" w:eastAsia="宋体"/>
          <w:sz w:val="30"/>
          <w:szCs w:val="30"/>
          <w:lang w:val="en-US" w:eastAsia="zh-CN"/>
        </w:rPr>
      </w:pPr>
      <w:r>
        <w:rPr>
          <w:rFonts w:hint="eastAsia" w:ascii="宋体" w:hAnsi="宋体"/>
          <w:sz w:val="30"/>
          <w:szCs w:val="30"/>
        </w:rPr>
        <w:t>6.4.3.</w:t>
      </w:r>
      <w:r>
        <w:rPr>
          <w:rFonts w:hint="eastAsia" w:ascii="宋体" w:hAnsi="宋体"/>
          <w:sz w:val="30"/>
          <w:szCs w:val="30"/>
          <w:lang w:val="en-US" w:eastAsia="zh-CN"/>
        </w:rPr>
        <w:t>1  “保险+期货”乡村振兴经济模式推广情况</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30"/>
          <w:szCs w:val="30"/>
        </w:rPr>
      </w:pPr>
      <w:r>
        <w:rPr>
          <w:rFonts w:hint="eastAsia" w:ascii="宋体" w:hAnsi="宋体"/>
          <w:sz w:val="30"/>
          <w:szCs w:val="30"/>
        </w:rPr>
        <w:t>新湖期货的扶贫理念是围绕产业服务能力与专业优势，充分使用期货工具和其他公益方式，深度进行产业帮扶实体经济，努力“授人以渔”。公司扶贫工作由以董事长为组长的领导小组负责，小组成员涵盖各品种的专家和业务骨干，扶贫项目涵盖“保险+期货”、套期保值、保价服务、场外期权服务、脱贫性生产项目支持、培训服务、贫困学生资助等多个领域。其中，尤以公司开创性尝试并重点加以推广的“保险+期货”模式成效显著。</w:t>
      </w:r>
    </w:p>
    <w:p>
      <w:pPr>
        <w:keepNext w:val="0"/>
        <w:keepLines w:val="0"/>
        <w:pageBreakBefore w:val="0"/>
        <w:kinsoku/>
        <w:wordWrap/>
        <w:overflowPunct/>
        <w:topLinePunct w:val="0"/>
        <w:autoSpaceDE/>
        <w:autoSpaceDN/>
        <w:bidi w:val="0"/>
        <w:adjustRightInd/>
        <w:snapToGrid/>
        <w:spacing w:line="520" w:lineRule="exact"/>
        <w:ind w:firstLine="645"/>
        <w:jc w:val="left"/>
        <w:rPr>
          <w:rFonts w:hint="eastAsia" w:ascii="宋体" w:hAnsi="宋体" w:cs="宋体"/>
          <w:sz w:val="28"/>
          <w:szCs w:val="28"/>
        </w:rPr>
      </w:pPr>
      <w:r>
        <w:rPr>
          <w:rFonts w:hint="eastAsia" w:ascii="宋体" w:hAnsi="宋体" w:cs="宋体"/>
          <w:sz w:val="28"/>
          <w:szCs w:val="28"/>
        </w:rPr>
        <w:t>2020年，公司不忘初心，继续大力开展“保险+期货”项目，扩大规模体量，完善业务模式，助力脱贫攻坚决胜之战。2020年新湖期货在全国范围内新开展项目22个，品种涉及玉米、大豆、豆粕、棉花、鸡蛋、苹果、天然橡胶、白糖、粳米、猪饲料指数10个品种，承保现货量总计约40万吨，覆盖河南、河北、山西、山东、湖南、湖北、黑龙江、安徽、四川、云南、广西、海南、新疆、北京14个省市自治区，</w:t>
      </w:r>
      <w:r>
        <w:rPr>
          <w:rFonts w:hint="eastAsia" w:ascii="宋体" w:hAnsi="宋体" w:cs="宋体"/>
          <w:sz w:val="28"/>
          <w:szCs w:val="28"/>
          <w:lang w:val="en-US" w:eastAsia="zh-CN"/>
        </w:rPr>
        <w:t>覆盖2个国家级贫困县（</w:t>
      </w:r>
      <w:r>
        <w:rPr>
          <w:rFonts w:hint="eastAsia" w:ascii="宋体" w:hAnsi="宋体" w:cs="宋体"/>
          <w:sz w:val="28"/>
          <w:szCs w:val="28"/>
        </w:rPr>
        <w:t>云南会泽县和广西罗城仫佬族自治县</w:t>
      </w:r>
      <w:r>
        <w:rPr>
          <w:rFonts w:hint="eastAsia" w:ascii="宋体" w:hAnsi="宋体" w:cs="宋体"/>
          <w:sz w:val="28"/>
          <w:szCs w:val="28"/>
          <w:lang w:val="en-US" w:eastAsia="zh-CN"/>
        </w:rPr>
        <w:t>），</w:t>
      </w:r>
      <w:r>
        <w:rPr>
          <w:rFonts w:hint="eastAsia" w:ascii="宋体" w:hAnsi="宋体" w:cs="宋体"/>
          <w:sz w:val="28"/>
          <w:szCs w:val="28"/>
        </w:rPr>
        <w:t>累计惠及农户约8万户</w:t>
      </w:r>
      <w:r>
        <w:rPr>
          <w:rFonts w:hint="eastAsia" w:ascii="宋体" w:hAnsi="宋体" w:cs="宋体"/>
          <w:sz w:val="28"/>
          <w:szCs w:val="28"/>
          <w:lang w:eastAsia="zh-CN"/>
        </w:rPr>
        <w:t>，</w:t>
      </w:r>
      <w:r>
        <w:rPr>
          <w:rFonts w:hint="eastAsia" w:ascii="宋体" w:hAnsi="宋体" w:cs="宋体"/>
          <w:sz w:val="28"/>
          <w:szCs w:val="28"/>
        </w:rPr>
        <w:t>其中建档立卡贫困户约1.5万户，对应场外期权名义本金约13亿，对农户实现赔付约4000万元。其中，2017年起在海南省白沙黎族自治县连续四年开展的天然橡胶“保险+期货”系列项目、2019年至今的河南省太康县“农民收入保障计划”系列“保险+期货”项目、2020年在云南会泽县开展的生猪饲料成本“保险+期货”项目</w:t>
      </w:r>
      <w:r>
        <w:rPr>
          <w:rFonts w:hint="eastAsia" w:ascii="宋体" w:hAnsi="宋体" w:cs="宋体"/>
          <w:sz w:val="28"/>
          <w:szCs w:val="28"/>
          <w:lang w:val="en-US" w:eastAsia="zh-CN"/>
        </w:rPr>
        <w:t>和</w:t>
      </w:r>
      <w:r>
        <w:rPr>
          <w:rFonts w:hint="eastAsia" w:ascii="宋体" w:hAnsi="宋体" w:cs="宋体"/>
          <w:sz w:val="28"/>
          <w:szCs w:val="28"/>
        </w:rPr>
        <w:t>广西罗城县白糖“保险+期货”县域全覆盖项目</w:t>
      </w:r>
      <w:r>
        <w:rPr>
          <w:rFonts w:hint="eastAsia" w:ascii="宋体" w:hAnsi="宋体" w:cs="宋体"/>
          <w:sz w:val="28"/>
          <w:szCs w:val="28"/>
          <w:lang w:eastAsia="zh-CN"/>
        </w:rPr>
        <w:t>，</w:t>
      </w:r>
      <w:r>
        <w:rPr>
          <w:rFonts w:hint="eastAsia" w:ascii="宋体" w:hAnsi="宋体" w:cs="宋体"/>
          <w:sz w:val="28"/>
          <w:szCs w:val="28"/>
        </w:rPr>
        <w:t>对上述</w:t>
      </w:r>
      <w:r>
        <w:rPr>
          <w:rFonts w:hint="eastAsia" w:ascii="宋体" w:hAnsi="宋体" w:cs="宋体"/>
          <w:sz w:val="28"/>
          <w:szCs w:val="28"/>
          <w:lang w:val="en-US" w:eastAsia="zh-CN"/>
        </w:rPr>
        <w:t>四</w:t>
      </w:r>
      <w:r>
        <w:rPr>
          <w:rFonts w:hint="eastAsia" w:ascii="宋体" w:hAnsi="宋体" w:cs="宋体"/>
          <w:sz w:val="28"/>
          <w:szCs w:val="28"/>
        </w:rPr>
        <w:t>县摘去国家级贫困县的帽子</w:t>
      </w:r>
      <w:r>
        <w:rPr>
          <w:rFonts w:hint="eastAsia" w:ascii="宋体" w:hAnsi="宋体" w:cs="宋体"/>
          <w:sz w:val="28"/>
          <w:szCs w:val="28"/>
          <w:lang w:val="en-US" w:eastAsia="zh-CN"/>
        </w:rPr>
        <w:t>和防止返贫</w:t>
      </w:r>
      <w:r>
        <w:rPr>
          <w:rFonts w:hint="eastAsia" w:ascii="宋体" w:hAnsi="宋体" w:cs="宋体"/>
          <w:sz w:val="28"/>
          <w:szCs w:val="28"/>
        </w:rPr>
        <w:t>作出直接贡献。</w:t>
      </w:r>
    </w:p>
    <w:p>
      <w:pPr>
        <w:keepNext w:val="0"/>
        <w:keepLines w:val="0"/>
        <w:pageBreakBefore w:val="0"/>
        <w:kinsoku/>
        <w:wordWrap/>
        <w:overflowPunct/>
        <w:topLinePunct w:val="0"/>
        <w:autoSpaceDE/>
        <w:autoSpaceDN/>
        <w:bidi w:val="0"/>
        <w:adjustRightInd/>
        <w:snapToGrid/>
        <w:spacing w:line="520" w:lineRule="exact"/>
        <w:ind w:firstLine="645"/>
        <w:jc w:val="left"/>
        <w:rPr>
          <w:rFonts w:ascii="宋体" w:hAnsi="宋体" w:cs="宋体"/>
          <w:sz w:val="28"/>
          <w:szCs w:val="28"/>
        </w:rPr>
      </w:pPr>
      <w:r>
        <w:rPr>
          <w:rFonts w:hint="eastAsia" w:ascii="宋体" w:hAnsi="宋体" w:cs="宋体"/>
          <w:sz w:val="28"/>
          <w:szCs w:val="28"/>
        </w:rPr>
        <w:t>2015—2020年间，新湖期货共承接</w:t>
      </w:r>
      <w:r>
        <w:rPr>
          <w:rFonts w:hint="eastAsia" w:ascii="宋体" w:hAnsi="宋体" w:cs="宋体"/>
          <w:sz w:val="28"/>
          <w:szCs w:val="28"/>
          <w:lang w:val="en-US" w:eastAsia="zh-CN"/>
        </w:rPr>
        <w:t>73</w:t>
      </w:r>
      <w:r>
        <w:rPr>
          <w:rFonts w:hint="eastAsia" w:ascii="宋体" w:hAnsi="宋体" w:cs="宋体"/>
          <w:sz w:val="28"/>
          <w:szCs w:val="28"/>
        </w:rPr>
        <w:t>个“保险+期货”项目，涉及玉米、大豆、粳米、豆粕、鸡蛋、白糖、天然橡胶、苹果、棉纱、棉花10多个品种，涵盖辽宁省、黑龙江省、吉林省、海南省、山西省、安徽省、河南省、湖南省、湖北省、甘肃省、新疆维吾尔自治区、广西壮族自治区、上海市、重庆市14个省市地区，</w:t>
      </w:r>
      <w:r>
        <w:rPr>
          <w:rFonts w:hint="eastAsia" w:ascii="宋体" w:hAnsi="宋体" w:cs="宋体"/>
          <w:sz w:val="28"/>
          <w:szCs w:val="28"/>
          <w:lang w:val="en-US" w:eastAsia="zh-CN"/>
        </w:rPr>
        <w:t>包括</w:t>
      </w:r>
      <w:r>
        <w:rPr>
          <w:rFonts w:hint="eastAsia" w:asciiTheme="majorEastAsia" w:hAnsiTheme="majorEastAsia" w:eastAsiaTheme="majorEastAsia" w:cstheme="majorEastAsia"/>
          <w:sz w:val="28"/>
          <w:szCs w:val="28"/>
        </w:rPr>
        <w:t>义县、罗城县、白沙县、巴楚县、太康县、秦安县、会泽县等超20个</w:t>
      </w:r>
      <w:r>
        <w:rPr>
          <w:rFonts w:hint="eastAsia" w:asciiTheme="majorEastAsia" w:hAnsiTheme="majorEastAsia" w:eastAsiaTheme="majorEastAsia" w:cstheme="majorEastAsia"/>
          <w:sz w:val="28"/>
          <w:szCs w:val="28"/>
          <w:lang w:val="en-US" w:eastAsia="zh-CN"/>
        </w:rPr>
        <w:t>国家级或省级贫困县收益匪浅</w:t>
      </w:r>
      <w:r>
        <w:rPr>
          <w:rFonts w:hint="eastAsia" w:asciiTheme="majorEastAsia" w:hAnsiTheme="majorEastAsia" w:eastAsiaTheme="majorEastAsia" w:cstheme="majorEastAsia"/>
          <w:sz w:val="28"/>
          <w:szCs w:val="28"/>
          <w:lang w:eastAsia="zh-CN"/>
        </w:rPr>
        <w:t>，</w:t>
      </w:r>
      <w:r>
        <w:rPr>
          <w:rFonts w:hint="eastAsia" w:ascii="宋体" w:hAnsi="宋体" w:cs="宋体"/>
          <w:sz w:val="28"/>
          <w:szCs w:val="28"/>
        </w:rPr>
        <w:t>累计为参保农户提供了价值约40亿元的名义本金风险保障，对农民赔付</w:t>
      </w:r>
      <w:r>
        <w:rPr>
          <w:rFonts w:hint="eastAsia" w:ascii="宋体" w:hAnsi="宋体" w:cs="宋体"/>
          <w:sz w:val="28"/>
          <w:szCs w:val="28"/>
          <w:lang w:val="en-US" w:eastAsia="zh-CN"/>
        </w:rPr>
        <w:t>1.6</w:t>
      </w:r>
      <w:r>
        <w:rPr>
          <w:rFonts w:hint="eastAsia" w:ascii="宋体" w:hAnsi="宋体" w:cs="宋体"/>
          <w:sz w:val="28"/>
          <w:szCs w:val="28"/>
        </w:rPr>
        <w:t>亿</w:t>
      </w:r>
      <w:r>
        <w:rPr>
          <w:rFonts w:hint="eastAsia" w:ascii="宋体" w:hAnsi="宋体" w:cs="宋体"/>
          <w:sz w:val="28"/>
          <w:szCs w:val="28"/>
          <w:lang w:val="en-US" w:eastAsia="zh-CN"/>
        </w:rPr>
        <w:t>多</w:t>
      </w:r>
      <w:r>
        <w:rPr>
          <w:rFonts w:hint="eastAsia" w:ascii="宋体" w:hAnsi="宋体" w:cs="宋体"/>
          <w:sz w:val="28"/>
          <w:szCs w:val="28"/>
        </w:rPr>
        <w:t>元，惠及约</w:t>
      </w:r>
      <w:r>
        <w:rPr>
          <w:rFonts w:hint="eastAsia" w:ascii="宋体" w:hAnsi="宋体" w:cs="宋体"/>
          <w:sz w:val="28"/>
          <w:szCs w:val="28"/>
          <w:lang w:val="en-US" w:eastAsia="zh-CN"/>
        </w:rPr>
        <w:t>20</w:t>
      </w:r>
      <w:r>
        <w:rPr>
          <w:rFonts w:hint="eastAsia" w:ascii="宋体" w:hAnsi="宋体" w:cs="宋体"/>
          <w:sz w:val="28"/>
          <w:szCs w:val="28"/>
        </w:rPr>
        <w:t>万户普通农户和建档立卡贫困户。2018-2020年，公司连续多年在期货公司扶贫考评成果中位列前三，“保险+期货”项目规模亦位列全国前三。</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一、</w:t>
      </w:r>
      <w:r>
        <w:rPr>
          <w:rFonts w:hint="eastAsia" w:asciiTheme="majorEastAsia" w:hAnsiTheme="majorEastAsia" w:eastAsiaTheme="majorEastAsia" w:cstheme="majorEastAsia"/>
          <w:sz w:val="28"/>
          <w:szCs w:val="28"/>
        </w:rPr>
        <w:t>大商所县域全覆盖项目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一</w:t>
      </w:r>
      <w:r>
        <w:rPr>
          <w:rFonts w:hint="eastAsia" w:asciiTheme="majorEastAsia" w:hAnsiTheme="majorEastAsia" w:eastAsiaTheme="majorEastAsia" w:cstheme="majorEastAsia"/>
          <w:sz w:val="28"/>
          <w:szCs w:val="28"/>
        </w:rPr>
        <w:t>）河南省太康县玉米收入险“保险+期货”县域全覆盖项目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河南省太康县曾是河南省国家级贫困县，于2019年5月份扶贫工作验收合格，脱贫摘帽。但当地仍有一定数量的建档立卡贫困户，扶贫工作仍需开展。2019年在大商所“农民收入保障计划”支持下，新湖期货与中华保险在太康县开展了鸡蛋养殖利润试点项目，为当地54户蛋鸡养殖户和19户建档立卡贫困户提供鸡蛋养殖利润保险保障，项目结束赔付金额55.082万元，获得大商所养殖类项目评审第二名，也获得了当地政府和广大农户的广泛认可，为2020年度项目的开展打下基础。2020年为继续相应大商所“农民收入保障计划”，支持服务乡村振兴战略，巩固保障扶贫成果，新湖期货牵头四家期货公司与中华保险在太康县开展县域覆盖试点——玉米收入保险项目。该项目结合河南省高标准农田建设政策，助力太康县农户增产保收。项目投保面积477987.01亩（约47.8万亩），覆盖全县玉米粮食作物种植面积的63.7%，对应对冲玉米现货20.32万吨，保险保障金额约4.23亿元。项目服务主体包括25个合作社、376户种粮大户以及全县1718户建档立卡贫困户。项目涉及总保费2533.33万元，2020年11月完成项目测产及赔付工作，最终共计产生赔付500.21万元，有效保障了种植农户的种植收入，为太康县扶贫工作做出了突出贡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二</w:t>
      </w:r>
      <w:r>
        <w:rPr>
          <w:rFonts w:hint="eastAsia" w:asciiTheme="majorEastAsia" w:hAnsiTheme="majorEastAsia" w:eastAsiaTheme="majorEastAsia" w:cstheme="majorEastAsia"/>
          <w:sz w:val="28"/>
          <w:szCs w:val="28"/>
        </w:rPr>
        <w:t>）河北省巨鹿县玉米收入险“保险+期货”县域全覆盖项目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河北省巨鹿县玉米收入险县域覆盖项目是河北省首个玉米“保险+期货”县域覆盖试点项目，巨鹿县隶属河北省邢台市，是国家级扶贫开发工作重点县，地势平坦，土壤肥沃，农业种植以玉米、棉花、小麦等农作物为主，玉米种植面积达28万亩，近五年平均亩产为0.5吨，是农民收入的重要来源。此次项目新湖期货联合两家期货公司与人保财险为当地32446户农户、120家合作社提供保护，其中包括建档立卡贫困户5672户，项目规模为18万亩，覆盖全县玉米种植面积的64.29%，承保现货量9万吨。项目总保费878.22万元，风险保障金额约1.57亿元。测产时巨鹿县部分地区受风灾和暴雨灾害的影响，出现减产情况，最终保险端赔付金额为</w:t>
      </w:r>
      <w:r>
        <w:rPr>
          <w:rFonts w:asciiTheme="majorEastAsia" w:hAnsiTheme="majorEastAsia" w:eastAsiaTheme="majorEastAsia" w:cstheme="majorEastAsia"/>
          <w:sz w:val="28"/>
          <w:szCs w:val="28"/>
        </w:rPr>
        <w:t>211.42</w:t>
      </w:r>
      <w:r>
        <w:rPr>
          <w:rFonts w:hint="eastAsia" w:asciiTheme="majorEastAsia" w:hAnsiTheme="majorEastAsia" w:eastAsiaTheme="majorEastAsia" w:cstheme="majorEastAsia"/>
          <w:sz w:val="28"/>
          <w:szCs w:val="28"/>
        </w:rPr>
        <w:t>万元。当地农户及合作社通过参与收入险试点项目，有效抵御了自然灾害造成的风险损失，稳定了种植的收入，全方位保障了当地农户及合作社的利益。</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三</w:t>
      </w:r>
      <w:r>
        <w:rPr>
          <w:rFonts w:hint="eastAsia" w:asciiTheme="majorEastAsia" w:hAnsiTheme="majorEastAsia" w:eastAsiaTheme="majorEastAsia" w:cstheme="majorEastAsia"/>
          <w:sz w:val="28"/>
          <w:szCs w:val="28"/>
        </w:rPr>
        <w:t>）合作参与其他期货公司牵头开展的大商所县域全覆盖项目（5个）</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除以上2个由新湖期货牵头开展的县域覆盖项目外，新湖期货还参与了5个其他期货公司牵头开展的县域覆盖项目，分别为光大期货牵头的山东临淄区玉米收入险项目、银河期货牵头的河南沈丘县玉米收入险项目、浙商期货牵头的山东武城县玉米收入险项目、南华期货牵头的黑龙江海伦市大豆收入险项目以及华西期货牵头的安徽利辛县大豆收入险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光大期货牵头的玉米收入险项目实施地为山东省的产量大县-淄博市临淄区，该地区也是山东省农业大灾保险试点县之一。该项目与中华财险山东分公司进行合作，承保农户3</w:t>
      </w:r>
      <w:r>
        <w:rPr>
          <w:rFonts w:asciiTheme="majorEastAsia" w:hAnsiTheme="majorEastAsia" w:eastAsiaTheme="majorEastAsia" w:cstheme="majorEastAsia"/>
          <w:sz w:val="28"/>
          <w:szCs w:val="28"/>
        </w:rPr>
        <w:t>9014</w:t>
      </w:r>
      <w:r>
        <w:rPr>
          <w:rFonts w:hint="eastAsia" w:asciiTheme="majorEastAsia" w:hAnsiTheme="majorEastAsia" w:eastAsiaTheme="majorEastAsia" w:cstheme="majorEastAsia"/>
          <w:sz w:val="28"/>
          <w:szCs w:val="28"/>
        </w:rPr>
        <w:t>户，玉米</w:t>
      </w:r>
      <w:r>
        <w:rPr>
          <w:rFonts w:asciiTheme="majorEastAsia" w:hAnsiTheme="majorEastAsia" w:eastAsiaTheme="majorEastAsia" w:cstheme="majorEastAsia"/>
          <w:sz w:val="28"/>
          <w:szCs w:val="28"/>
        </w:rPr>
        <w:t>19.55</w:t>
      </w:r>
      <w:r>
        <w:rPr>
          <w:rFonts w:hint="eastAsia" w:asciiTheme="majorEastAsia" w:hAnsiTheme="majorEastAsia" w:eastAsiaTheme="majorEastAsia" w:cstheme="majorEastAsia"/>
          <w:sz w:val="28"/>
          <w:szCs w:val="28"/>
        </w:rPr>
        <w:t>万亩，1</w:t>
      </w:r>
      <w:r>
        <w:rPr>
          <w:rFonts w:asciiTheme="majorEastAsia" w:hAnsiTheme="majorEastAsia" w:eastAsiaTheme="majorEastAsia" w:cstheme="majorEastAsia"/>
          <w:sz w:val="28"/>
          <w:szCs w:val="28"/>
        </w:rPr>
        <w:t>0.75</w:t>
      </w:r>
      <w:r>
        <w:rPr>
          <w:rFonts w:hint="eastAsia" w:asciiTheme="majorEastAsia" w:hAnsiTheme="majorEastAsia" w:eastAsiaTheme="majorEastAsia" w:cstheme="majorEastAsia"/>
          <w:sz w:val="28"/>
          <w:szCs w:val="28"/>
        </w:rPr>
        <w:t>万吨（新湖期货承担对冲数量为1</w:t>
      </w:r>
      <w:r>
        <w:rPr>
          <w:rFonts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t>万吨）。项目于2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年8月1</w:t>
      </w:r>
      <w:r>
        <w:rPr>
          <w:rFonts w:asciiTheme="majorEastAsia" w:hAnsiTheme="majorEastAsia" w:eastAsiaTheme="majorEastAsia" w:cstheme="majorEastAsia"/>
          <w:sz w:val="28"/>
          <w:szCs w:val="28"/>
        </w:rPr>
        <w:t>0</w:t>
      </w:r>
      <w:r>
        <w:rPr>
          <w:rFonts w:hint="eastAsia" w:asciiTheme="majorEastAsia" w:hAnsiTheme="majorEastAsia" w:eastAsiaTheme="majorEastAsia" w:cstheme="majorEastAsia"/>
          <w:sz w:val="28"/>
          <w:szCs w:val="28"/>
        </w:rPr>
        <w:t>日出单，保险责任期为2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年8月1</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日至1</w:t>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t>月1</w:t>
      </w:r>
      <w:r>
        <w:rPr>
          <w:rFonts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t>日，保险采价期为保险责任期最后一个月，项目最终共计产生赔付3</w:t>
      </w:r>
      <w:r>
        <w:rPr>
          <w:rFonts w:asciiTheme="majorEastAsia" w:hAnsiTheme="majorEastAsia" w:eastAsiaTheme="majorEastAsia" w:cstheme="majorEastAsia"/>
          <w:sz w:val="28"/>
          <w:szCs w:val="28"/>
        </w:rPr>
        <w:t>13.96</w:t>
      </w:r>
      <w:r>
        <w:rPr>
          <w:rFonts w:hint="eastAsia" w:asciiTheme="majorEastAsia" w:hAnsiTheme="majorEastAsia" w:eastAsiaTheme="majorEastAsia" w:cstheme="majorEastAsia"/>
          <w:sz w:val="28"/>
          <w:szCs w:val="28"/>
        </w:rPr>
        <w:t>万元。</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银河期货牵头的玉米收入险项目实施地为河南省周口市沈丘县，是全国粮食生产百强县、粮食年产量1</w:t>
      </w:r>
      <w:r>
        <w:rPr>
          <w:rFonts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t>亿斤以上，沈丘县于2</w:t>
      </w:r>
      <w:r>
        <w:rPr>
          <w:rFonts w:asciiTheme="majorEastAsia" w:hAnsiTheme="majorEastAsia" w:eastAsiaTheme="majorEastAsia" w:cstheme="majorEastAsia"/>
          <w:sz w:val="28"/>
          <w:szCs w:val="28"/>
        </w:rPr>
        <w:t>002</w:t>
      </w:r>
      <w:r>
        <w:rPr>
          <w:rFonts w:hint="eastAsia" w:asciiTheme="majorEastAsia" w:hAnsiTheme="majorEastAsia" w:eastAsiaTheme="majorEastAsia" w:cstheme="majorEastAsia"/>
          <w:sz w:val="28"/>
          <w:szCs w:val="28"/>
        </w:rPr>
        <w:t>年被确定为国家级扶贫开发重点县，于2</w:t>
      </w:r>
      <w:r>
        <w:rPr>
          <w:rFonts w:asciiTheme="majorEastAsia" w:hAnsiTheme="majorEastAsia" w:eastAsiaTheme="majorEastAsia" w:cstheme="majorEastAsia"/>
          <w:sz w:val="28"/>
          <w:szCs w:val="28"/>
        </w:rPr>
        <w:t>018</w:t>
      </w:r>
      <w:r>
        <w:rPr>
          <w:rFonts w:hint="eastAsia" w:asciiTheme="majorEastAsia" w:hAnsiTheme="majorEastAsia" w:eastAsiaTheme="majorEastAsia" w:cstheme="majorEastAsia"/>
          <w:sz w:val="28"/>
          <w:szCs w:val="28"/>
        </w:rPr>
        <w:t>年8月宣布退出贫困县序列。截止项目开展，沈丘县仍有1</w:t>
      </w:r>
      <w:r>
        <w:rPr>
          <w:rFonts w:asciiTheme="majorEastAsia" w:hAnsiTheme="majorEastAsia" w:eastAsiaTheme="majorEastAsia" w:cstheme="majorEastAsia"/>
          <w:sz w:val="28"/>
          <w:szCs w:val="28"/>
        </w:rPr>
        <w:t>080</w:t>
      </w:r>
      <w:r>
        <w:rPr>
          <w:rFonts w:hint="eastAsia" w:asciiTheme="majorEastAsia" w:hAnsiTheme="majorEastAsia" w:eastAsiaTheme="majorEastAsia" w:cstheme="majorEastAsia"/>
          <w:sz w:val="28"/>
          <w:szCs w:val="28"/>
        </w:rPr>
        <w:t>户建档立卡贫困户，1</w:t>
      </w:r>
      <w:r>
        <w:rPr>
          <w:rFonts w:asciiTheme="majorEastAsia" w:hAnsiTheme="majorEastAsia" w:eastAsiaTheme="majorEastAsia" w:cstheme="majorEastAsia"/>
          <w:sz w:val="28"/>
          <w:szCs w:val="28"/>
        </w:rPr>
        <w:t>9031</w:t>
      </w:r>
      <w:r>
        <w:rPr>
          <w:rFonts w:hint="eastAsia" w:asciiTheme="majorEastAsia" w:hAnsiTheme="majorEastAsia" w:eastAsiaTheme="majorEastAsia" w:cstheme="majorEastAsia"/>
          <w:sz w:val="28"/>
          <w:szCs w:val="28"/>
        </w:rPr>
        <w:t>户已脱贫但仍然享受帮扶政策的贫困户。该项目与中华财险河南分公司共计承保玉米4</w:t>
      </w:r>
      <w:r>
        <w:rPr>
          <w:rFonts w:asciiTheme="majorEastAsia" w:hAnsiTheme="majorEastAsia" w:eastAsiaTheme="majorEastAsia" w:cstheme="majorEastAsia"/>
          <w:sz w:val="28"/>
          <w:szCs w:val="28"/>
        </w:rPr>
        <w:t>4.36</w:t>
      </w:r>
      <w:r>
        <w:rPr>
          <w:rFonts w:hint="eastAsia" w:asciiTheme="majorEastAsia" w:hAnsiTheme="majorEastAsia" w:eastAsiaTheme="majorEastAsia" w:cstheme="majorEastAsia"/>
          <w:sz w:val="28"/>
          <w:szCs w:val="28"/>
        </w:rPr>
        <w:t>万亩，覆盖全县6</w:t>
      </w:r>
      <w:r>
        <w:rPr>
          <w:rFonts w:asciiTheme="majorEastAsia" w:hAnsiTheme="majorEastAsia" w:eastAsiaTheme="majorEastAsia" w:cstheme="majorEastAsia"/>
          <w:sz w:val="28"/>
          <w:szCs w:val="28"/>
        </w:rPr>
        <w:t>1.6</w:t>
      </w:r>
      <w:r>
        <w:rPr>
          <w:rFonts w:hint="eastAsia" w:asciiTheme="majorEastAsia" w:hAnsiTheme="majorEastAsia" w:eastAsiaTheme="majorEastAsia" w:cstheme="majorEastAsia"/>
          <w:sz w:val="28"/>
          <w:szCs w:val="28"/>
        </w:rPr>
        <w:t>%的玉米种植面积，亩产0</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吨，约2</w:t>
      </w:r>
      <w:r>
        <w:rPr>
          <w:rFonts w:asciiTheme="majorEastAsia" w:hAnsiTheme="majorEastAsia" w:eastAsiaTheme="majorEastAsia" w:cstheme="majorEastAsia"/>
          <w:sz w:val="28"/>
          <w:szCs w:val="28"/>
        </w:rPr>
        <w:t>2.18</w:t>
      </w:r>
      <w:r>
        <w:rPr>
          <w:rFonts w:hint="eastAsia" w:asciiTheme="majorEastAsia" w:hAnsiTheme="majorEastAsia" w:eastAsiaTheme="majorEastAsia" w:cstheme="majorEastAsia"/>
          <w:sz w:val="28"/>
          <w:szCs w:val="28"/>
        </w:rPr>
        <w:t>万吨（新湖期货承担对冲数量为</w:t>
      </w:r>
      <w:r>
        <w:rPr>
          <w:rFonts w:asciiTheme="majorEastAsia" w:hAnsiTheme="majorEastAsia" w:eastAsiaTheme="majorEastAsia" w:cstheme="majorEastAsia"/>
          <w:sz w:val="28"/>
          <w:szCs w:val="28"/>
        </w:rPr>
        <w:t>31050</w:t>
      </w:r>
      <w:r>
        <w:rPr>
          <w:rFonts w:hint="eastAsia" w:asciiTheme="majorEastAsia" w:hAnsiTheme="majorEastAsia" w:eastAsiaTheme="majorEastAsia" w:cstheme="majorEastAsia"/>
          <w:sz w:val="28"/>
          <w:szCs w:val="28"/>
        </w:rPr>
        <w:t>吨）。项目覆盖了当地1</w:t>
      </w:r>
      <w:r>
        <w:rPr>
          <w:rFonts w:asciiTheme="majorEastAsia" w:hAnsiTheme="majorEastAsia" w:eastAsiaTheme="majorEastAsia" w:cstheme="majorEastAsia"/>
          <w:sz w:val="28"/>
          <w:szCs w:val="28"/>
        </w:rPr>
        <w:t>00</w:t>
      </w:r>
      <w:r>
        <w:rPr>
          <w:rFonts w:hint="eastAsia" w:asciiTheme="majorEastAsia" w:hAnsiTheme="majorEastAsia" w:eastAsiaTheme="majorEastAsia" w:cstheme="majorEastAsia"/>
          <w:sz w:val="28"/>
          <w:szCs w:val="28"/>
        </w:rPr>
        <w:t>%建档立卡贫困户1</w:t>
      </w:r>
      <w:r>
        <w:rPr>
          <w:rFonts w:asciiTheme="majorEastAsia" w:hAnsiTheme="majorEastAsia" w:eastAsiaTheme="majorEastAsia" w:cstheme="majorEastAsia"/>
          <w:sz w:val="28"/>
          <w:szCs w:val="28"/>
        </w:rPr>
        <w:t>080</w:t>
      </w:r>
      <w:r>
        <w:rPr>
          <w:rFonts w:hint="eastAsia" w:asciiTheme="majorEastAsia" w:hAnsiTheme="majorEastAsia" w:eastAsiaTheme="majorEastAsia" w:cstheme="majorEastAsia"/>
          <w:sz w:val="28"/>
          <w:szCs w:val="28"/>
        </w:rPr>
        <w:t>户，其次覆盖已脱贫仍享受政策的贫困户和合作社、种植大户等新型农业经营主体3</w:t>
      </w:r>
      <w:r>
        <w:rPr>
          <w:rFonts w:asciiTheme="majorEastAsia" w:hAnsiTheme="majorEastAsia" w:eastAsiaTheme="majorEastAsia" w:cstheme="majorEastAsia"/>
          <w:sz w:val="28"/>
          <w:szCs w:val="28"/>
        </w:rPr>
        <w:t>466</w:t>
      </w:r>
      <w:r>
        <w:rPr>
          <w:rFonts w:hint="eastAsia" w:asciiTheme="majorEastAsia" w:hAnsiTheme="majorEastAsia" w:eastAsiaTheme="majorEastAsia" w:cstheme="majorEastAsia"/>
          <w:sz w:val="28"/>
          <w:szCs w:val="28"/>
        </w:rPr>
        <w:t>户。项目总保费2</w:t>
      </w:r>
      <w:r>
        <w:rPr>
          <w:rFonts w:asciiTheme="majorEastAsia" w:hAnsiTheme="majorEastAsia" w:eastAsiaTheme="majorEastAsia" w:cstheme="majorEastAsia"/>
          <w:sz w:val="28"/>
          <w:szCs w:val="28"/>
        </w:rPr>
        <w:t>350.97</w:t>
      </w:r>
      <w:r>
        <w:rPr>
          <w:rFonts w:hint="eastAsia" w:asciiTheme="majorEastAsia" w:hAnsiTheme="majorEastAsia" w:eastAsiaTheme="majorEastAsia" w:cstheme="majorEastAsia"/>
          <w:sz w:val="28"/>
          <w:szCs w:val="28"/>
        </w:rPr>
        <w:t>万元，最终实现赔付约5</w:t>
      </w:r>
      <w:r>
        <w:rPr>
          <w:rFonts w:asciiTheme="majorEastAsia" w:hAnsiTheme="majorEastAsia" w:eastAsiaTheme="majorEastAsia" w:cstheme="majorEastAsia"/>
          <w:sz w:val="28"/>
          <w:szCs w:val="28"/>
        </w:rPr>
        <w:t>00</w:t>
      </w:r>
      <w:r>
        <w:rPr>
          <w:rFonts w:hint="eastAsia" w:asciiTheme="majorEastAsia" w:hAnsiTheme="majorEastAsia" w:eastAsiaTheme="majorEastAsia" w:cstheme="majorEastAsia"/>
          <w:sz w:val="28"/>
          <w:szCs w:val="28"/>
        </w:rPr>
        <w:t>万元。</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浙商期货牵头的玉米收入险项目实施地为山东省德州市武城县，与太保财险合作为武城县内的8个镇街提供玉米收入保险，承保玉米3</w:t>
      </w:r>
      <w:r>
        <w:rPr>
          <w:rFonts w:asciiTheme="majorEastAsia" w:hAnsiTheme="majorEastAsia" w:eastAsiaTheme="majorEastAsia" w:cstheme="majorEastAsia"/>
          <w:sz w:val="28"/>
          <w:szCs w:val="28"/>
        </w:rPr>
        <w:t>7.2</w:t>
      </w:r>
      <w:r>
        <w:rPr>
          <w:rFonts w:hint="eastAsia" w:asciiTheme="majorEastAsia" w:hAnsiTheme="majorEastAsia" w:eastAsiaTheme="majorEastAsia" w:cstheme="majorEastAsia"/>
          <w:sz w:val="28"/>
          <w:szCs w:val="28"/>
        </w:rPr>
        <w:t>万亩，对应玉米现货2</w:t>
      </w:r>
      <w:r>
        <w:rPr>
          <w:rFonts w:asciiTheme="majorEastAsia" w:hAnsiTheme="majorEastAsia" w:eastAsiaTheme="majorEastAsia" w:cstheme="majorEastAsia"/>
          <w:sz w:val="28"/>
          <w:szCs w:val="28"/>
        </w:rPr>
        <w:t>1.68</w:t>
      </w:r>
      <w:r>
        <w:rPr>
          <w:rFonts w:hint="eastAsia" w:asciiTheme="majorEastAsia" w:hAnsiTheme="majorEastAsia" w:eastAsiaTheme="majorEastAsia" w:cstheme="majorEastAsia"/>
          <w:sz w:val="28"/>
          <w:szCs w:val="28"/>
        </w:rPr>
        <w:t>万吨（新湖期货承担对冲数量为</w:t>
      </w:r>
      <w:r>
        <w:rPr>
          <w:rFonts w:asciiTheme="majorEastAsia" w:hAnsiTheme="majorEastAsia" w:eastAsiaTheme="majorEastAsia" w:cstheme="majorEastAsia"/>
          <w:sz w:val="28"/>
          <w:szCs w:val="28"/>
        </w:rPr>
        <w:t>21685</w:t>
      </w:r>
      <w:r>
        <w:rPr>
          <w:rFonts w:hint="eastAsia" w:asciiTheme="majorEastAsia" w:hAnsiTheme="majorEastAsia" w:eastAsiaTheme="majorEastAsia" w:cstheme="majorEastAsia"/>
          <w:sz w:val="28"/>
          <w:szCs w:val="28"/>
        </w:rPr>
        <w:t>吨）。参保主体包括武城玉米种植户2</w:t>
      </w:r>
      <w:r>
        <w:rPr>
          <w:rFonts w:asciiTheme="majorEastAsia" w:hAnsiTheme="majorEastAsia" w:eastAsiaTheme="majorEastAsia" w:cstheme="majorEastAsia"/>
          <w:sz w:val="28"/>
          <w:szCs w:val="28"/>
        </w:rPr>
        <w:t>2693</w:t>
      </w:r>
      <w:r>
        <w:rPr>
          <w:rFonts w:hint="eastAsia" w:asciiTheme="majorEastAsia" w:hAnsiTheme="majorEastAsia" w:eastAsiaTheme="majorEastAsia" w:cstheme="majorEastAsia"/>
          <w:sz w:val="28"/>
          <w:szCs w:val="28"/>
        </w:rPr>
        <w:t>户（包括建档立卡贫困户4</w:t>
      </w:r>
      <w:r>
        <w:rPr>
          <w:rFonts w:asciiTheme="majorEastAsia" w:hAnsiTheme="majorEastAsia" w:eastAsiaTheme="majorEastAsia" w:cstheme="majorEastAsia"/>
          <w:sz w:val="28"/>
          <w:szCs w:val="28"/>
        </w:rPr>
        <w:t>28</w:t>
      </w:r>
      <w:r>
        <w:rPr>
          <w:rFonts w:hint="eastAsia" w:asciiTheme="majorEastAsia" w:hAnsiTheme="majorEastAsia" w:eastAsiaTheme="majorEastAsia" w:cstheme="majorEastAsia"/>
          <w:sz w:val="28"/>
          <w:szCs w:val="28"/>
        </w:rPr>
        <w:t>户），合作社1</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个。2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年武城地区遭遇较大自然灾害，在玉米价格大幅上涨的复杂背景下，实现理赔8</w:t>
      </w:r>
      <w:r>
        <w:rPr>
          <w:rFonts w:asciiTheme="majorEastAsia" w:hAnsiTheme="majorEastAsia" w:eastAsiaTheme="majorEastAsia" w:cstheme="majorEastAsia"/>
          <w:sz w:val="28"/>
          <w:szCs w:val="28"/>
        </w:rPr>
        <w:t>55.6</w:t>
      </w:r>
      <w:r>
        <w:rPr>
          <w:rFonts w:hint="eastAsia" w:asciiTheme="majorEastAsia" w:hAnsiTheme="majorEastAsia" w:eastAsiaTheme="majorEastAsia" w:cstheme="majorEastAsia"/>
          <w:sz w:val="28"/>
          <w:szCs w:val="28"/>
        </w:rPr>
        <w:t>万元，为当地玉米种植户规避了收入减少的风险。</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南华期货牵头的大豆收入险项目实施地为黑龙江省海伦市，曾是国家级贫困县，于2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年2月正式脱贫摘帽。南华期货连续3年在海伦市开展了金融支农创新项目，此次项目与阳光农险合作承保面积站海伦市2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年大豆种植面积的6</w:t>
      </w:r>
      <w:r>
        <w:rPr>
          <w:rFonts w:asciiTheme="majorEastAsia" w:hAnsiTheme="majorEastAsia" w:eastAsiaTheme="majorEastAsia" w:cstheme="majorEastAsia"/>
          <w:sz w:val="28"/>
          <w:szCs w:val="28"/>
        </w:rPr>
        <w:t>0</w:t>
      </w:r>
      <w:r>
        <w:rPr>
          <w:rFonts w:hint="eastAsia" w:asciiTheme="majorEastAsia" w:hAnsiTheme="majorEastAsia" w:eastAsiaTheme="majorEastAsia" w:cstheme="majorEastAsia"/>
          <w:sz w:val="28"/>
          <w:szCs w:val="28"/>
        </w:rPr>
        <w:t>%以上，承保面积达到1</w:t>
      </w:r>
      <w:r>
        <w:rPr>
          <w:rFonts w:asciiTheme="majorEastAsia" w:hAnsiTheme="majorEastAsia" w:eastAsiaTheme="majorEastAsia" w:cstheme="majorEastAsia"/>
          <w:sz w:val="28"/>
          <w:szCs w:val="28"/>
        </w:rPr>
        <w:t>10.35</w:t>
      </w:r>
      <w:r>
        <w:rPr>
          <w:rFonts w:hint="eastAsia" w:asciiTheme="majorEastAsia" w:hAnsiTheme="majorEastAsia" w:eastAsiaTheme="majorEastAsia" w:cstheme="majorEastAsia"/>
          <w:sz w:val="28"/>
          <w:szCs w:val="28"/>
        </w:rPr>
        <w:t>万亩，涉及大豆现货量1</w:t>
      </w:r>
      <w:r>
        <w:rPr>
          <w:rFonts w:asciiTheme="majorEastAsia" w:hAnsiTheme="majorEastAsia" w:eastAsiaTheme="majorEastAsia" w:cstheme="majorEastAsia"/>
          <w:sz w:val="28"/>
          <w:szCs w:val="28"/>
        </w:rPr>
        <w:t>8.32</w:t>
      </w:r>
      <w:r>
        <w:rPr>
          <w:rFonts w:hint="eastAsia" w:asciiTheme="majorEastAsia" w:hAnsiTheme="majorEastAsia" w:eastAsiaTheme="majorEastAsia" w:cstheme="majorEastAsia"/>
          <w:sz w:val="28"/>
          <w:szCs w:val="28"/>
        </w:rPr>
        <w:t>万吨（新湖期货承担对冲数量为</w:t>
      </w:r>
      <w:r>
        <w:rPr>
          <w:rFonts w:asciiTheme="majorEastAsia" w:hAnsiTheme="majorEastAsia" w:eastAsiaTheme="majorEastAsia" w:cstheme="majorEastAsia"/>
          <w:sz w:val="28"/>
          <w:szCs w:val="28"/>
        </w:rPr>
        <w:t>9000</w:t>
      </w:r>
      <w:r>
        <w:rPr>
          <w:rFonts w:hint="eastAsia" w:asciiTheme="majorEastAsia" w:hAnsiTheme="majorEastAsia" w:eastAsiaTheme="majorEastAsia" w:cstheme="majorEastAsia"/>
          <w:sz w:val="28"/>
          <w:szCs w:val="28"/>
        </w:rPr>
        <w:t>吨），涉及1</w:t>
      </w:r>
      <w:r>
        <w:rPr>
          <w:rFonts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t>个乡镇及合作社，投保户达到1</w:t>
      </w:r>
      <w:r>
        <w:rPr>
          <w:rFonts w:asciiTheme="majorEastAsia" w:hAnsiTheme="majorEastAsia" w:eastAsiaTheme="majorEastAsia" w:cstheme="majorEastAsia"/>
          <w:sz w:val="28"/>
          <w:szCs w:val="28"/>
        </w:rPr>
        <w:t>6366</w:t>
      </w:r>
      <w:r>
        <w:rPr>
          <w:rFonts w:hint="eastAsia" w:asciiTheme="majorEastAsia" w:hAnsiTheme="majorEastAsia" w:eastAsiaTheme="majorEastAsia" w:cstheme="majorEastAsia"/>
          <w:sz w:val="28"/>
          <w:szCs w:val="28"/>
        </w:rPr>
        <w:t>人次（其中建档立卡贫困户2</w:t>
      </w:r>
      <w:r>
        <w:rPr>
          <w:rFonts w:asciiTheme="majorEastAsia" w:hAnsiTheme="majorEastAsia" w:eastAsiaTheme="majorEastAsia" w:cstheme="majorEastAsia"/>
          <w:sz w:val="28"/>
          <w:szCs w:val="28"/>
        </w:rPr>
        <w:t>277</w:t>
      </w:r>
      <w:r>
        <w:rPr>
          <w:rFonts w:hint="eastAsia" w:asciiTheme="majorEastAsia" w:hAnsiTheme="majorEastAsia" w:eastAsiaTheme="majorEastAsia" w:cstheme="majorEastAsia"/>
          <w:sz w:val="28"/>
          <w:szCs w:val="28"/>
        </w:rPr>
        <w:t>户），保额达到5</w:t>
      </w:r>
      <w:r>
        <w:rPr>
          <w:rFonts w:asciiTheme="majorEastAsia" w:hAnsiTheme="majorEastAsia" w:eastAsiaTheme="majorEastAsia" w:cstheme="majorEastAsia"/>
          <w:sz w:val="28"/>
          <w:szCs w:val="28"/>
        </w:rPr>
        <w:t>.72</w:t>
      </w:r>
      <w:r>
        <w:rPr>
          <w:rFonts w:hint="eastAsia" w:asciiTheme="majorEastAsia" w:hAnsiTheme="majorEastAsia" w:eastAsiaTheme="majorEastAsia" w:cstheme="majorEastAsia"/>
          <w:sz w:val="28"/>
          <w:szCs w:val="28"/>
        </w:rPr>
        <w:t>亿元。到期后经过测产公示，预计总赔款约为3</w:t>
      </w:r>
      <w:r>
        <w:rPr>
          <w:rFonts w:asciiTheme="majorEastAsia" w:hAnsiTheme="majorEastAsia" w:eastAsiaTheme="majorEastAsia" w:cstheme="majorEastAsia"/>
          <w:sz w:val="28"/>
          <w:szCs w:val="28"/>
        </w:rPr>
        <w:t>100</w:t>
      </w:r>
      <w:r>
        <w:rPr>
          <w:rFonts w:hint="eastAsia" w:asciiTheme="majorEastAsia" w:hAnsiTheme="majorEastAsia" w:eastAsiaTheme="majorEastAsia" w:cstheme="majorEastAsia"/>
          <w:sz w:val="28"/>
          <w:szCs w:val="28"/>
        </w:rPr>
        <w:t>万元。</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华西期货牵头的大豆收入险项目实施地为安徽省豪州市利辛县，2</w:t>
      </w:r>
      <w:r>
        <w:rPr>
          <w:rFonts w:asciiTheme="majorEastAsia" w:hAnsiTheme="majorEastAsia" w:eastAsiaTheme="majorEastAsia" w:cstheme="majorEastAsia"/>
          <w:sz w:val="28"/>
          <w:szCs w:val="28"/>
        </w:rPr>
        <w:t>000</w:t>
      </w:r>
      <w:r>
        <w:rPr>
          <w:rFonts w:hint="eastAsia" w:asciiTheme="majorEastAsia" w:hAnsiTheme="majorEastAsia" w:eastAsiaTheme="majorEastAsia" w:cstheme="majorEastAsia"/>
          <w:sz w:val="28"/>
          <w:szCs w:val="28"/>
        </w:rPr>
        <w:t>年被确定为国家级贫困县，于2</w:t>
      </w:r>
      <w:r>
        <w:rPr>
          <w:rFonts w:asciiTheme="majorEastAsia" w:hAnsiTheme="majorEastAsia" w:eastAsiaTheme="majorEastAsia" w:cstheme="majorEastAsia"/>
          <w:sz w:val="28"/>
          <w:szCs w:val="28"/>
        </w:rPr>
        <w:t>019</w:t>
      </w:r>
      <w:r>
        <w:rPr>
          <w:rFonts w:hint="eastAsia" w:asciiTheme="majorEastAsia" w:hAnsiTheme="majorEastAsia" w:eastAsiaTheme="majorEastAsia" w:cstheme="majorEastAsia"/>
          <w:sz w:val="28"/>
          <w:szCs w:val="28"/>
        </w:rPr>
        <w:t>年4月脱贫摘帽，大豆种植产业是当地的农业支柱产业。本次项目与太保财险合作，覆盖当地大豆种植面积7</w:t>
      </w:r>
      <w:r>
        <w:rPr>
          <w:rFonts w:asciiTheme="majorEastAsia" w:hAnsiTheme="majorEastAsia" w:eastAsiaTheme="majorEastAsia" w:cstheme="majorEastAsia"/>
          <w:sz w:val="28"/>
          <w:szCs w:val="28"/>
        </w:rPr>
        <w:t>9471</w:t>
      </w:r>
      <w:r>
        <w:rPr>
          <w:rFonts w:hint="eastAsia" w:asciiTheme="majorEastAsia" w:hAnsiTheme="majorEastAsia" w:eastAsiaTheme="majorEastAsia" w:cstheme="majorEastAsia"/>
          <w:sz w:val="28"/>
          <w:szCs w:val="28"/>
        </w:rPr>
        <w:t>亩，占全县大豆年产量的1</w:t>
      </w:r>
      <w:r>
        <w:rPr>
          <w:rFonts w:asciiTheme="majorEastAsia" w:hAnsiTheme="majorEastAsia" w:eastAsiaTheme="majorEastAsia" w:cstheme="majorEastAsia"/>
          <w:sz w:val="28"/>
          <w:szCs w:val="28"/>
        </w:rPr>
        <w:t>00</w:t>
      </w:r>
      <w:r>
        <w:rPr>
          <w:rFonts w:hint="eastAsia" w:asciiTheme="majorEastAsia" w:hAnsiTheme="majorEastAsia" w:eastAsiaTheme="majorEastAsia" w:cstheme="majorEastAsia"/>
          <w:sz w:val="28"/>
          <w:szCs w:val="28"/>
        </w:rPr>
        <w:t>%，参与项目的大豆种植户1</w:t>
      </w:r>
      <w:r>
        <w:rPr>
          <w:rFonts w:asciiTheme="majorEastAsia" w:hAnsiTheme="majorEastAsia" w:eastAsiaTheme="majorEastAsia" w:cstheme="majorEastAsia"/>
          <w:sz w:val="28"/>
          <w:szCs w:val="28"/>
        </w:rPr>
        <w:t>5924</w:t>
      </w:r>
      <w:r>
        <w:rPr>
          <w:rFonts w:hint="eastAsia" w:asciiTheme="majorEastAsia" w:hAnsiTheme="majorEastAsia" w:eastAsiaTheme="majorEastAsia" w:cstheme="majorEastAsia"/>
          <w:sz w:val="28"/>
          <w:szCs w:val="28"/>
        </w:rPr>
        <w:t>户。保险到期后，大豆种植户的实际收入高于目标收入，故该保险未触发理赔。</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二、</w:t>
      </w:r>
      <w:r>
        <w:rPr>
          <w:rFonts w:hint="eastAsia" w:asciiTheme="majorEastAsia" w:hAnsiTheme="majorEastAsia" w:eastAsiaTheme="majorEastAsia" w:cstheme="majorEastAsia"/>
          <w:sz w:val="28"/>
          <w:szCs w:val="28"/>
        </w:rPr>
        <w:t>大商所其他分散项目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新湖期货联合工商银行、太保财险、安信农险在四川省万源市开展养殖饲料成本指数保险分散试点项目，为当地养殖企业、合作社、家庭农场和养殖场等197个养殖主体提供养殖贷款、饲料成本指数保险，并结合当地农业公司为养殖主体提供综合服务，打造万源健康养殖产业模式。万源市此前为国家级贫困县，于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2月正式脱贫摘帽。本次试点以产业促脱贫，实现对服务主体中的建档立卡贫困人口544人直接参保扶贫，同时带动建档立卡贫困人口8930人就业，项目结束产生赔付1195585.63元，有效的帮助养殖户的降低了成本风险，助力脱贫攻坚、实现乡村振兴。</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三、</w:t>
      </w:r>
      <w:r>
        <w:rPr>
          <w:rFonts w:hint="eastAsia" w:asciiTheme="majorEastAsia" w:hAnsiTheme="majorEastAsia" w:eastAsiaTheme="majorEastAsia" w:cstheme="majorEastAsia"/>
          <w:sz w:val="28"/>
          <w:szCs w:val="28"/>
        </w:rPr>
        <w:t>大商所专项扶贫项目-云南省会泽县</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新湖期货还在当时未脱贫摘帽的国家级贫困县——云南省会泽县定点开展了大商所“农民收入保障计划”的“保险+期货”专项扶贫项目。云南省会泽县，此前是国务院扶贫开发领导小组《关于开展挂牌督战工作指导意见的通知》中明确的52个脱贫攻坚挂牌督战县之一，也是上海市人民政府的定点帮扶县。2020年，新湖期货联合太保财险及其联保单位安信农险为积极响应国家助力脱贫攻坚的号召，在云南会泽县开展猪饲料成本指数保险专项扶贫试点项目。本次项目保险产品标的为大商所上市的猪饲料成本指数，总计为2287户当地贫困养殖户提供涉及现货量13081吨的猪饲料成本指数价格保险，分别对应玉米数量10108.05吨，豆粕数量2972.95吨，总保费100万元，保险金额2906.91万元，项目最终实现赔付146.2万元。通过此次试点项目，会泽县贫困养殖户在玉米、豆粕价格上涨的行情下，有效地控制了采购成本增加的风险，稳定了生猪饲养收入。同时“保险+期货”模式在当地的首次开展取得了较好的成效，也让当地政府与农户加强了金融创新工具保障农业健康发展的意识，增进了从事农业生产劳动致富的信心。2020年11月13日，经云南省人民政府批准，会泽县正式退出贫困县序列，成功实现脱贫摘帽目标。</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四、</w:t>
      </w:r>
      <w:r>
        <w:rPr>
          <w:rFonts w:hint="eastAsia" w:asciiTheme="majorEastAsia" w:hAnsiTheme="majorEastAsia" w:eastAsiaTheme="majorEastAsia" w:cstheme="majorEastAsia"/>
          <w:sz w:val="28"/>
          <w:szCs w:val="28"/>
        </w:rPr>
        <w:t>郑商所项目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一</w:t>
      </w:r>
      <w:r>
        <w:rPr>
          <w:rFonts w:hint="eastAsia" w:asciiTheme="majorEastAsia" w:hAnsiTheme="majorEastAsia" w:eastAsiaTheme="majorEastAsia" w:cstheme="majorEastAsia"/>
          <w:sz w:val="28"/>
          <w:szCs w:val="28"/>
        </w:rPr>
        <w:t>）广西罗城县白糖“保险+期货”县域全覆盖项目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年在郑商所的支持下，新湖期货联合南华期货、永安期货、人保财险连续第三年在广西罗城县开展白糖“保险+期货”县域全覆盖项目，承保面积11.10万亩，对应白糖现货5</w:t>
      </w:r>
      <w:r>
        <w:rPr>
          <w:rFonts w:asciiTheme="majorEastAsia" w:hAnsiTheme="majorEastAsia" w:eastAsiaTheme="majorEastAsia" w:cstheme="majorEastAsia"/>
          <w:sz w:val="28"/>
          <w:szCs w:val="28"/>
        </w:rPr>
        <w:t>2164.74</w:t>
      </w:r>
      <w:r>
        <w:rPr>
          <w:rFonts w:hint="eastAsia" w:asciiTheme="majorEastAsia" w:hAnsiTheme="majorEastAsia" w:eastAsiaTheme="majorEastAsia" w:cstheme="majorEastAsia"/>
          <w:sz w:val="28"/>
          <w:szCs w:val="28"/>
        </w:rPr>
        <w:t>吨（新湖期货承担对冲数量为</w:t>
      </w:r>
      <w:r>
        <w:rPr>
          <w:rFonts w:asciiTheme="majorEastAsia" w:hAnsiTheme="majorEastAsia" w:eastAsiaTheme="majorEastAsia" w:cstheme="majorEastAsia"/>
          <w:sz w:val="28"/>
          <w:szCs w:val="28"/>
        </w:rPr>
        <w:t>17370.85</w:t>
      </w:r>
      <w:r>
        <w:rPr>
          <w:rFonts w:hint="eastAsia" w:asciiTheme="majorEastAsia" w:hAnsiTheme="majorEastAsia" w:eastAsiaTheme="majorEastAsia" w:cstheme="majorEastAsia"/>
          <w:sz w:val="28"/>
          <w:szCs w:val="28"/>
        </w:rPr>
        <w:t>吨），覆盖全县蔗农5628户其中贫困户1692 户）。试点保险期为2020年11月24日至2021年2月23日，最终产生赔付677.10万元，赔付率83.56%，户均获赔1203元。</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二</w:t>
      </w:r>
      <w:r>
        <w:rPr>
          <w:rFonts w:hint="eastAsia" w:asciiTheme="majorEastAsia" w:hAnsiTheme="majorEastAsia" w:eastAsiaTheme="majorEastAsia" w:cstheme="majorEastAsia"/>
          <w:sz w:val="28"/>
          <w:szCs w:val="28"/>
        </w:rPr>
        <w:t>）河南省三门峡市苹果“保险+期货”项目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在郑商所和河南省财政厅的支持下，河南首个由省财政支持的苹果“保险+期货”项目落地三门峡市，项目由中原财险和海通期货、新湖期货、永安期货、国泰君安期货共同合作开展。试点共计承保2503户次，覆盖苹果种植面积16732亩，对应苹果现货3万吨（新湖期货承担对冲数量为6</w:t>
      </w:r>
      <w:r>
        <w:rPr>
          <w:rFonts w:asciiTheme="majorEastAsia" w:hAnsiTheme="majorEastAsia" w:eastAsiaTheme="majorEastAsia" w:cstheme="majorEastAsia"/>
          <w:sz w:val="28"/>
          <w:szCs w:val="28"/>
        </w:rPr>
        <w:t>000</w:t>
      </w:r>
      <w:r>
        <w:rPr>
          <w:rFonts w:hint="eastAsia" w:asciiTheme="majorEastAsia" w:hAnsiTheme="majorEastAsia" w:eastAsiaTheme="majorEastAsia" w:cstheme="majorEastAsia"/>
          <w:sz w:val="28"/>
          <w:szCs w:val="28"/>
        </w:rPr>
        <w:t>吨），总保费规模1233.3万元，为农户提供风险保障2.3亿元；理赔覆盖全部2503户投保农户，赔付金额1021.21万元，赔付率82.8%，亩均赔款610元（贫困户户均赔款达到2139元），在苹果市场行情走高的情况下，投保农户相当于在现货价格基础上又额外获得了0.34元/公斤的价格收益。</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三</w:t>
      </w:r>
      <w:r>
        <w:rPr>
          <w:rFonts w:hint="eastAsia" w:asciiTheme="majorEastAsia" w:hAnsiTheme="majorEastAsia" w:eastAsiaTheme="majorEastAsia" w:cstheme="majorEastAsia"/>
          <w:sz w:val="28"/>
          <w:szCs w:val="28"/>
        </w:rPr>
        <w:t>）新疆兵团发改委棉花“价格保险+期货”项目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为应对棉花市场风险，探索新型棉花补贴方式，根据新疆生产建设兵团2019年棉花“价格保险+期货”试点方案的通知要求，2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年新湖期货与人保财险合作，承保兵团10000吨棉花现货，覆盖兵团棉花种植户8</w:t>
      </w:r>
      <w:r>
        <w:rPr>
          <w:rFonts w:asciiTheme="majorEastAsia" w:hAnsiTheme="majorEastAsia" w:eastAsiaTheme="majorEastAsia" w:cstheme="majorEastAsia"/>
          <w:sz w:val="28"/>
          <w:szCs w:val="28"/>
        </w:rPr>
        <w:t>64</w:t>
      </w:r>
      <w:r>
        <w:rPr>
          <w:rFonts w:hint="eastAsia" w:asciiTheme="majorEastAsia" w:hAnsiTheme="majorEastAsia" w:eastAsiaTheme="majorEastAsia" w:cstheme="majorEastAsia"/>
          <w:sz w:val="28"/>
          <w:szCs w:val="28"/>
        </w:rPr>
        <w:t>户，最终对农户实现赔付1</w:t>
      </w:r>
      <w:r>
        <w:rPr>
          <w:rFonts w:asciiTheme="majorEastAsia" w:hAnsiTheme="majorEastAsia" w:eastAsiaTheme="majorEastAsia" w:cstheme="majorEastAsia"/>
          <w:sz w:val="28"/>
          <w:szCs w:val="28"/>
        </w:rPr>
        <w:t>967</w:t>
      </w:r>
      <w:r>
        <w:rPr>
          <w:rFonts w:hint="eastAsia" w:asciiTheme="majorEastAsia" w:hAnsiTheme="majorEastAsia" w:eastAsiaTheme="majorEastAsia" w:cstheme="majorEastAsia"/>
          <w:sz w:val="28"/>
          <w:szCs w:val="28"/>
        </w:rPr>
        <w:t>万元。</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五</w:t>
      </w:r>
      <w:r>
        <w:rPr>
          <w:rFonts w:hint="eastAsia" w:asciiTheme="majorEastAsia" w:hAnsiTheme="majorEastAsia" w:eastAsiaTheme="majorEastAsia" w:cstheme="majorEastAsia"/>
          <w:sz w:val="28"/>
          <w:szCs w:val="28"/>
        </w:rPr>
        <w:t>、上期所项目-海南省白沙县天然橡胶“保险+期货”县域覆盖项目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2020年在上海期货交易所的支持下，新湖期货与人保财险合作在海南省白沙黎族自治县连续第四年开展天然橡胶“保险+期货”县域全覆盖项目。天然橡胶“保险+期货”模式自2017年在南开乡首开试点至2019年实现全县已开割面积全覆盖，三年来，新湖期货共承保天然橡胶现货22150吨，累计共有16753户次胶农受益，其中建档立卡贫困户7950户次，共计实现理赔1544.46万元，试点效果显著，得到海南省委、省政府的高度肯定，并重新明确了橡胶产业的战略定位。白沙县通过“保险+期货”项目试点稳定了四十多年以来发展壮大并形成规模的民营橡胶产业，同时也实现了“多劳多得”、“授人以渔”的精准扶贫效果。2020年2月28日，经海南省人民政府正式批准，白沙县退出贫困县序列，正式脱贫摘帽。2020年度项目挂钩天然橡胶现货数量4500吨，覆盖天然橡胶种植面积7.5万亩，投入总保费332.43万元，最终实现赔付290.25万元，为23565户胶农（建档立卡贫困户10666户）提供了价格保障，助力当地胶农及橡胶产业抗疫复产，也助力白沙县稳固脱贫攻坚成果。</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六</w:t>
      </w:r>
      <w:r>
        <w:rPr>
          <w:rFonts w:hint="eastAsia" w:asciiTheme="majorEastAsia" w:hAnsiTheme="majorEastAsia" w:eastAsiaTheme="majorEastAsia" w:cstheme="majorEastAsia"/>
          <w:sz w:val="28"/>
          <w:szCs w:val="28"/>
        </w:rPr>
        <w:t>、自主开展商业型项目</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t>020</w:t>
      </w:r>
      <w:r>
        <w:rPr>
          <w:rFonts w:hint="eastAsia" w:asciiTheme="majorEastAsia" w:hAnsiTheme="majorEastAsia" w:eastAsiaTheme="majorEastAsia" w:cstheme="majorEastAsia"/>
          <w:sz w:val="28"/>
          <w:szCs w:val="28"/>
        </w:rPr>
        <w:t>年度新湖期货自主开展8个商业型“保险+期货”项目，涉及鸡蛋、苹果、粳米、玉米、大豆、猪饲料指数共6个品种。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一</w:t>
      </w:r>
      <w:r>
        <w:rPr>
          <w:rFonts w:hint="eastAsia" w:asciiTheme="majorEastAsia" w:hAnsiTheme="majorEastAsia" w:eastAsiaTheme="majorEastAsia" w:cstheme="majorEastAsia"/>
          <w:sz w:val="28"/>
          <w:szCs w:val="28"/>
        </w:rPr>
        <w:t>）湖南省宜章县鸡蛋：承保鸡蛋现货2</w:t>
      </w:r>
      <w:r>
        <w:rPr>
          <w:rFonts w:asciiTheme="majorEastAsia" w:hAnsiTheme="majorEastAsia" w:eastAsiaTheme="majorEastAsia" w:cstheme="majorEastAsia"/>
          <w:sz w:val="28"/>
          <w:szCs w:val="28"/>
        </w:rPr>
        <w:t>51.5</w:t>
      </w:r>
      <w:r>
        <w:rPr>
          <w:rFonts w:hint="eastAsia" w:asciiTheme="majorEastAsia" w:hAnsiTheme="majorEastAsia" w:eastAsiaTheme="majorEastAsia" w:cstheme="majorEastAsia"/>
          <w:sz w:val="28"/>
          <w:szCs w:val="28"/>
        </w:rPr>
        <w:t>吨，保障农户3户，保险保障金额1</w:t>
      </w:r>
      <w:r>
        <w:rPr>
          <w:rFonts w:asciiTheme="majorEastAsia" w:hAnsiTheme="majorEastAsia" w:eastAsiaTheme="majorEastAsia" w:cstheme="majorEastAsia"/>
          <w:sz w:val="28"/>
          <w:szCs w:val="28"/>
        </w:rPr>
        <w:t>76.05</w:t>
      </w:r>
      <w:r>
        <w:rPr>
          <w:rFonts w:hint="eastAsia" w:asciiTheme="majorEastAsia" w:hAnsiTheme="majorEastAsia" w:eastAsiaTheme="majorEastAsia" w:cstheme="majorEastAsia"/>
          <w:sz w:val="28"/>
          <w:szCs w:val="28"/>
        </w:rPr>
        <w:t>万元，最终实现赔付1</w:t>
      </w:r>
      <w:r>
        <w:rPr>
          <w:rFonts w:asciiTheme="majorEastAsia" w:hAnsiTheme="majorEastAsia" w:eastAsiaTheme="majorEastAsia" w:cstheme="majorEastAsia"/>
          <w:sz w:val="28"/>
          <w:szCs w:val="28"/>
        </w:rPr>
        <w:t>0.12</w:t>
      </w:r>
      <w:r>
        <w:rPr>
          <w:rFonts w:hint="eastAsia" w:asciiTheme="majorEastAsia" w:hAnsiTheme="majorEastAsia" w:eastAsiaTheme="majorEastAsia" w:cstheme="majorEastAsia"/>
          <w:sz w:val="28"/>
          <w:szCs w:val="28"/>
        </w:rPr>
        <w:t>万元。</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二</w:t>
      </w:r>
      <w:r>
        <w:rPr>
          <w:rFonts w:hint="eastAsia" w:asciiTheme="majorEastAsia" w:hAnsiTheme="majorEastAsia" w:eastAsiaTheme="majorEastAsia" w:cstheme="majorEastAsia"/>
          <w:sz w:val="28"/>
          <w:szCs w:val="28"/>
        </w:rPr>
        <w:t>）湖北省武汉市新洲区鸡蛋：承保鸡蛋现货</w:t>
      </w:r>
      <w:r>
        <w:rPr>
          <w:rFonts w:asciiTheme="majorEastAsia" w:hAnsiTheme="majorEastAsia" w:eastAsiaTheme="majorEastAsia" w:cstheme="majorEastAsia"/>
          <w:sz w:val="28"/>
          <w:szCs w:val="28"/>
        </w:rPr>
        <w:t>2500</w:t>
      </w:r>
      <w:r>
        <w:rPr>
          <w:rFonts w:hint="eastAsia" w:asciiTheme="majorEastAsia" w:hAnsiTheme="majorEastAsia" w:eastAsiaTheme="majorEastAsia" w:cstheme="majorEastAsia"/>
          <w:sz w:val="28"/>
          <w:szCs w:val="28"/>
        </w:rPr>
        <w:t>吨，保障农户</w:t>
      </w:r>
      <w:r>
        <w:rPr>
          <w:rFonts w:asciiTheme="majorEastAsia" w:hAnsiTheme="majorEastAsia" w:eastAsiaTheme="majorEastAsia" w:cstheme="majorEastAsia"/>
          <w:sz w:val="28"/>
          <w:szCs w:val="28"/>
        </w:rPr>
        <w:t>40</w:t>
      </w:r>
      <w:r>
        <w:rPr>
          <w:rFonts w:hint="eastAsia" w:asciiTheme="majorEastAsia" w:hAnsiTheme="majorEastAsia" w:eastAsiaTheme="majorEastAsia" w:cstheme="majorEastAsia"/>
          <w:sz w:val="28"/>
          <w:szCs w:val="28"/>
        </w:rPr>
        <w:t>户，保险保障金额</w:t>
      </w:r>
      <w:r>
        <w:rPr>
          <w:rFonts w:asciiTheme="majorEastAsia" w:hAnsiTheme="majorEastAsia" w:eastAsiaTheme="majorEastAsia" w:cstheme="majorEastAsia"/>
          <w:sz w:val="28"/>
          <w:szCs w:val="28"/>
        </w:rPr>
        <w:t>2259</w:t>
      </w:r>
      <w:r>
        <w:rPr>
          <w:rFonts w:hint="eastAsia" w:asciiTheme="majorEastAsia" w:hAnsiTheme="majorEastAsia" w:eastAsiaTheme="majorEastAsia" w:cstheme="majorEastAsia"/>
          <w:sz w:val="28"/>
          <w:szCs w:val="28"/>
        </w:rPr>
        <w:t>万元，最终实现赔付</w:t>
      </w:r>
      <w:r>
        <w:rPr>
          <w:rFonts w:asciiTheme="majorEastAsia" w:hAnsiTheme="majorEastAsia" w:eastAsiaTheme="majorEastAsia" w:cstheme="majorEastAsia"/>
          <w:sz w:val="28"/>
          <w:szCs w:val="28"/>
        </w:rPr>
        <w:t>112.26</w:t>
      </w:r>
      <w:r>
        <w:rPr>
          <w:rFonts w:hint="eastAsia" w:asciiTheme="majorEastAsia" w:hAnsiTheme="majorEastAsia" w:eastAsiaTheme="majorEastAsia" w:cstheme="majorEastAsia"/>
          <w:sz w:val="28"/>
          <w:szCs w:val="28"/>
        </w:rPr>
        <w:t>万元。</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三</w:t>
      </w:r>
      <w:r>
        <w:rPr>
          <w:rFonts w:hint="eastAsia" w:asciiTheme="majorEastAsia" w:hAnsiTheme="majorEastAsia" w:eastAsiaTheme="majorEastAsia" w:cstheme="majorEastAsia"/>
          <w:sz w:val="28"/>
          <w:szCs w:val="28"/>
        </w:rPr>
        <w:t>）山西省临猗县苹果：承保苹果现货</w:t>
      </w:r>
      <w:r>
        <w:rPr>
          <w:rFonts w:asciiTheme="majorEastAsia" w:hAnsiTheme="majorEastAsia" w:eastAsiaTheme="majorEastAsia" w:cstheme="majorEastAsia"/>
          <w:sz w:val="28"/>
          <w:szCs w:val="28"/>
        </w:rPr>
        <w:t>2704.45</w:t>
      </w:r>
      <w:r>
        <w:rPr>
          <w:rFonts w:hint="eastAsia" w:asciiTheme="majorEastAsia" w:hAnsiTheme="majorEastAsia" w:eastAsiaTheme="majorEastAsia" w:cstheme="majorEastAsia"/>
          <w:sz w:val="28"/>
          <w:szCs w:val="28"/>
        </w:rPr>
        <w:t>吨，保障农户</w:t>
      </w:r>
      <w:r>
        <w:rPr>
          <w:rFonts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t>户，保险保障金额</w:t>
      </w:r>
      <w:r>
        <w:rPr>
          <w:rFonts w:asciiTheme="majorEastAsia" w:hAnsiTheme="majorEastAsia" w:eastAsiaTheme="majorEastAsia" w:cstheme="majorEastAsia"/>
          <w:sz w:val="28"/>
          <w:szCs w:val="28"/>
        </w:rPr>
        <w:t>2375</w:t>
      </w:r>
      <w:r>
        <w:rPr>
          <w:rFonts w:hint="eastAsia" w:asciiTheme="majorEastAsia" w:hAnsiTheme="majorEastAsia" w:eastAsiaTheme="majorEastAsia" w:cstheme="majorEastAsia"/>
          <w:sz w:val="28"/>
          <w:szCs w:val="28"/>
        </w:rPr>
        <w:t>万元，最终实现赔付</w:t>
      </w:r>
      <w:r>
        <w:rPr>
          <w:rFonts w:asciiTheme="majorEastAsia" w:hAnsiTheme="majorEastAsia" w:eastAsiaTheme="majorEastAsia" w:cstheme="majorEastAsia"/>
          <w:sz w:val="28"/>
          <w:szCs w:val="28"/>
        </w:rPr>
        <w:t>123.97</w:t>
      </w:r>
      <w:r>
        <w:rPr>
          <w:rFonts w:hint="eastAsia" w:asciiTheme="majorEastAsia" w:hAnsiTheme="majorEastAsia" w:eastAsiaTheme="majorEastAsia" w:cstheme="majorEastAsia"/>
          <w:sz w:val="28"/>
          <w:szCs w:val="28"/>
        </w:rPr>
        <w:t>万元。</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四</w:t>
      </w:r>
      <w:r>
        <w:rPr>
          <w:rFonts w:hint="eastAsia" w:asciiTheme="majorEastAsia" w:hAnsiTheme="majorEastAsia" w:eastAsiaTheme="majorEastAsia" w:cstheme="majorEastAsia"/>
          <w:sz w:val="28"/>
          <w:szCs w:val="28"/>
        </w:rPr>
        <w:t>）北京市粳米：承保粳米现货</w:t>
      </w:r>
      <w:r>
        <w:rPr>
          <w:rFonts w:asciiTheme="majorEastAsia" w:hAnsiTheme="majorEastAsia" w:eastAsiaTheme="majorEastAsia" w:cstheme="majorEastAsia"/>
          <w:sz w:val="28"/>
          <w:szCs w:val="28"/>
        </w:rPr>
        <w:t>42000</w:t>
      </w:r>
      <w:r>
        <w:rPr>
          <w:rFonts w:hint="eastAsia" w:asciiTheme="majorEastAsia" w:hAnsiTheme="majorEastAsia" w:eastAsiaTheme="majorEastAsia" w:cstheme="majorEastAsia"/>
          <w:sz w:val="28"/>
          <w:szCs w:val="28"/>
        </w:rPr>
        <w:t>吨，保障农户</w:t>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t>户，保险保障金额</w:t>
      </w:r>
      <w:r>
        <w:rPr>
          <w:rFonts w:asciiTheme="majorEastAsia" w:hAnsiTheme="majorEastAsia" w:eastAsiaTheme="majorEastAsia" w:cstheme="majorEastAsia"/>
          <w:sz w:val="28"/>
          <w:szCs w:val="28"/>
        </w:rPr>
        <w:t>10500</w:t>
      </w:r>
      <w:r>
        <w:rPr>
          <w:rFonts w:hint="eastAsia" w:asciiTheme="majorEastAsia" w:hAnsiTheme="majorEastAsia" w:eastAsiaTheme="majorEastAsia" w:cstheme="majorEastAsia"/>
          <w:sz w:val="28"/>
          <w:szCs w:val="28"/>
        </w:rPr>
        <w:t>万元，最终无赔付。</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五</w:t>
      </w:r>
      <w:r>
        <w:rPr>
          <w:rFonts w:hint="eastAsia" w:asciiTheme="majorEastAsia" w:hAnsiTheme="majorEastAsia" w:eastAsiaTheme="majorEastAsia" w:cstheme="majorEastAsia"/>
          <w:sz w:val="28"/>
          <w:szCs w:val="28"/>
        </w:rPr>
        <w:t>）湖南省株洲市猪饲料指数：承保饲料综合标的（0</w:t>
      </w:r>
      <w:r>
        <w:rPr>
          <w:rFonts w:asciiTheme="majorEastAsia" w:hAnsiTheme="majorEastAsia" w:eastAsiaTheme="majorEastAsia" w:cstheme="majorEastAsia"/>
          <w:sz w:val="28"/>
          <w:szCs w:val="28"/>
        </w:rPr>
        <w:t>.68*</w:t>
      </w:r>
      <w:r>
        <w:rPr>
          <w:rFonts w:hint="eastAsia" w:asciiTheme="majorEastAsia" w:hAnsiTheme="majorEastAsia" w:eastAsiaTheme="majorEastAsia" w:cstheme="majorEastAsia"/>
          <w:sz w:val="28"/>
          <w:szCs w:val="28"/>
        </w:rPr>
        <w:t>C</w:t>
      </w:r>
      <w:r>
        <w:rPr>
          <w:rFonts w:asciiTheme="majorEastAsia" w:hAnsiTheme="majorEastAsia" w:eastAsiaTheme="majorEastAsia" w:cstheme="majorEastAsia"/>
          <w:sz w:val="28"/>
          <w:szCs w:val="28"/>
        </w:rPr>
        <w:t>+0.2*</w:t>
      </w:r>
      <w:r>
        <w:rPr>
          <w:rFonts w:hint="eastAsia" w:asciiTheme="majorEastAsia" w:hAnsiTheme="majorEastAsia" w:eastAsiaTheme="majorEastAsia" w:cstheme="majorEastAsia"/>
          <w:sz w:val="28"/>
          <w:szCs w:val="28"/>
        </w:rPr>
        <w:t>M）现货3</w:t>
      </w:r>
      <w:r>
        <w:rPr>
          <w:rFonts w:asciiTheme="majorEastAsia" w:hAnsiTheme="majorEastAsia" w:eastAsiaTheme="majorEastAsia" w:cstheme="majorEastAsia"/>
          <w:sz w:val="28"/>
          <w:szCs w:val="28"/>
        </w:rPr>
        <w:t>500</w:t>
      </w:r>
      <w:r>
        <w:rPr>
          <w:rFonts w:hint="eastAsia" w:asciiTheme="majorEastAsia" w:hAnsiTheme="majorEastAsia" w:eastAsiaTheme="majorEastAsia" w:cstheme="majorEastAsia"/>
          <w:sz w:val="28"/>
          <w:szCs w:val="28"/>
        </w:rPr>
        <w:t>吨，保障农户</w:t>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t>户，保险保障金额</w:t>
      </w:r>
      <w:r>
        <w:rPr>
          <w:rFonts w:asciiTheme="majorEastAsia" w:hAnsiTheme="majorEastAsia" w:eastAsiaTheme="majorEastAsia" w:cstheme="majorEastAsia"/>
          <w:sz w:val="28"/>
          <w:szCs w:val="28"/>
        </w:rPr>
        <w:t>823.52</w:t>
      </w:r>
      <w:r>
        <w:rPr>
          <w:rFonts w:hint="eastAsia" w:asciiTheme="majorEastAsia" w:hAnsiTheme="majorEastAsia" w:eastAsiaTheme="majorEastAsia" w:cstheme="majorEastAsia"/>
          <w:sz w:val="28"/>
          <w:szCs w:val="28"/>
        </w:rPr>
        <w:t>万元，最终实现赔付</w:t>
      </w:r>
      <w:r>
        <w:rPr>
          <w:rFonts w:asciiTheme="majorEastAsia" w:hAnsiTheme="majorEastAsia" w:eastAsiaTheme="majorEastAsia" w:cstheme="majorEastAsia"/>
          <w:sz w:val="28"/>
          <w:szCs w:val="28"/>
        </w:rPr>
        <w:t>15.36</w:t>
      </w:r>
      <w:r>
        <w:rPr>
          <w:rFonts w:hint="eastAsia" w:asciiTheme="majorEastAsia" w:hAnsiTheme="majorEastAsia" w:eastAsiaTheme="majorEastAsia" w:cstheme="majorEastAsia"/>
          <w:sz w:val="28"/>
          <w:szCs w:val="28"/>
        </w:rPr>
        <w:t>万元。</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六</w:t>
      </w:r>
      <w:r>
        <w:rPr>
          <w:rFonts w:hint="eastAsia" w:asciiTheme="majorEastAsia" w:hAnsiTheme="majorEastAsia" w:eastAsiaTheme="majorEastAsia" w:cstheme="majorEastAsia"/>
          <w:sz w:val="28"/>
          <w:szCs w:val="28"/>
        </w:rPr>
        <w:t>）黑龙江省甘南县玉米、大豆：承保玉米现货</w:t>
      </w:r>
      <w:r>
        <w:rPr>
          <w:rFonts w:asciiTheme="majorEastAsia" w:hAnsiTheme="majorEastAsia" w:eastAsiaTheme="majorEastAsia" w:cstheme="majorEastAsia"/>
          <w:sz w:val="28"/>
          <w:szCs w:val="28"/>
        </w:rPr>
        <w:t>22846.4</w:t>
      </w:r>
      <w:r>
        <w:rPr>
          <w:rFonts w:hint="eastAsia" w:asciiTheme="majorEastAsia" w:hAnsiTheme="majorEastAsia" w:eastAsiaTheme="majorEastAsia" w:cstheme="majorEastAsia"/>
          <w:sz w:val="28"/>
          <w:szCs w:val="28"/>
        </w:rPr>
        <w:t>吨、大豆现货4</w:t>
      </w:r>
      <w:r>
        <w:rPr>
          <w:rFonts w:asciiTheme="majorEastAsia" w:hAnsiTheme="majorEastAsia" w:eastAsiaTheme="majorEastAsia" w:cstheme="majorEastAsia"/>
          <w:sz w:val="28"/>
          <w:szCs w:val="28"/>
        </w:rPr>
        <w:t>446.01</w:t>
      </w:r>
      <w:r>
        <w:rPr>
          <w:rFonts w:hint="eastAsia" w:asciiTheme="majorEastAsia" w:hAnsiTheme="majorEastAsia" w:eastAsiaTheme="majorEastAsia" w:cstheme="majorEastAsia"/>
          <w:sz w:val="28"/>
          <w:szCs w:val="28"/>
        </w:rPr>
        <w:t>吨，保障农户</w:t>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t>户，保险保障金额合计</w:t>
      </w:r>
      <w:r>
        <w:rPr>
          <w:rFonts w:asciiTheme="majorEastAsia" w:hAnsiTheme="majorEastAsia" w:eastAsiaTheme="majorEastAsia" w:cstheme="majorEastAsia"/>
          <w:sz w:val="28"/>
          <w:szCs w:val="28"/>
        </w:rPr>
        <w:t>7897.72</w:t>
      </w:r>
      <w:r>
        <w:rPr>
          <w:rFonts w:hint="eastAsia" w:asciiTheme="majorEastAsia" w:hAnsiTheme="majorEastAsia" w:eastAsiaTheme="majorEastAsia" w:cstheme="majorEastAsia"/>
          <w:sz w:val="28"/>
          <w:szCs w:val="28"/>
        </w:rPr>
        <w:t>万元，最终实现赔付</w:t>
      </w:r>
      <w:r>
        <w:rPr>
          <w:rFonts w:asciiTheme="majorEastAsia" w:hAnsiTheme="majorEastAsia" w:eastAsiaTheme="majorEastAsia" w:cstheme="majorEastAsia"/>
          <w:sz w:val="28"/>
          <w:szCs w:val="28"/>
        </w:rPr>
        <w:t>331.7</w:t>
      </w:r>
      <w:r>
        <w:rPr>
          <w:rFonts w:hint="eastAsia" w:asciiTheme="majorEastAsia" w:hAnsiTheme="majorEastAsia" w:eastAsiaTheme="majorEastAsia" w:cstheme="majorEastAsia"/>
          <w:sz w:val="28"/>
          <w:szCs w:val="28"/>
        </w:rPr>
        <w:t>万元。</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30"/>
          <w:szCs w:val="30"/>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七</w:t>
      </w:r>
      <w:r>
        <w:rPr>
          <w:rFonts w:hint="eastAsia" w:asciiTheme="majorEastAsia" w:hAnsiTheme="majorEastAsia" w:eastAsiaTheme="majorEastAsia" w:cstheme="majorEastAsia"/>
          <w:sz w:val="28"/>
          <w:szCs w:val="28"/>
        </w:rPr>
        <w:t>）安徽省无为县粳米：承保粳米现货</w:t>
      </w:r>
      <w:r>
        <w:rPr>
          <w:rFonts w:asciiTheme="majorEastAsia" w:hAnsiTheme="majorEastAsia" w:eastAsiaTheme="majorEastAsia" w:cstheme="majorEastAsia"/>
          <w:sz w:val="28"/>
          <w:szCs w:val="28"/>
        </w:rPr>
        <w:t>6000</w:t>
      </w:r>
      <w:r>
        <w:rPr>
          <w:rFonts w:hint="eastAsia" w:asciiTheme="majorEastAsia" w:hAnsiTheme="majorEastAsia" w:eastAsiaTheme="majorEastAsia" w:cstheme="majorEastAsia"/>
          <w:sz w:val="28"/>
          <w:szCs w:val="28"/>
        </w:rPr>
        <w:t>吨，保障合作社</w:t>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t>个，保险保障金额</w:t>
      </w:r>
      <w:r>
        <w:rPr>
          <w:rFonts w:asciiTheme="majorEastAsia" w:hAnsiTheme="majorEastAsia" w:eastAsiaTheme="majorEastAsia" w:cstheme="majorEastAsia"/>
          <w:sz w:val="28"/>
          <w:szCs w:val="28"/>
        </w:rPr>
        <w:t>2171</w:t>
      </w:r>
      <w:r>
        <w:rPr>
          <w:rFonts w:hint="eastAsia" w:asciiTheme="majorEastAsia" w:hAnsiTheme="majorEastAsia" w:eastAsiaTheme="majorEastAsia" w:cstheme="majorEastAsia"/>
          <w:sz w:val="28"/>
          <w:szCs w:val="28"/>
        </w:rPr>
        <w:t>万元，最终实现赔付</w:t>
      </w:r>
      <w:r>
        <w:rPr>
          <w:rFonts w:asciiTheme="majorEastAsia" w:hAnsiTheme="majorEastAsia" w:eastAsiaTheme="majorEastAsia" w:cstheme="majorEastAsia"/>
          <w:sz w:val="28"/>
          <w:szCs w:val="28"/>
        </w:rPr>
        <w:t>9.47</w:t>
      </w:r>
      <w:r>
        <w:rPr>
          <w:rFonts w:hint="eastAsia" w:asciiTheme="majorEastAsia" w:hAnsiTheme="majorEastAsia" w:eastAsiaTheme="majorEastAsia" w:cstheme="majorEastAsia"/>
          <w:sz w:val="28"/>
          <w:szCs w:val="28"/>
        </w:rPr>
        <w:t>万元。</w:t>
      </w:r>
      <w:r>
        <w:rPr>
          <w:rFonts w:hint="eastAsia" w:ascii="宋体" w:hAnsi="宋体"/>
          <w:sz w:val="30"/>
          <w:szCs w:val="30"/>
        </w:rPr>
        <w:t>2、创新开展“场外期权扶贫”试点项目</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保险+期货”模式打开了保险行业扶持农业的新思路，构建了金融行业服务“三农”的新格局。原有的扶持农业的思路是从抵御农业自然风险和意外事故的角度，帮助农户解决灾后恢复再生产能力的问题，实现农产品供给的稳定，却没有形成农户收入保障进而实现保障供给的内在机制。保险与期货相结合，通过期货市场分散价格波动风险，有效解决了价格风险管理需求，形成从自然灾害风险到市场价格风险的多方位保障体系，切实保障了农户利益，从而形成农产品可持续稳定供应的内在保障机制。</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30"/>
          <w:szCs w:val="30"/>
        </w:rPr>
      </w:pPr>
      <w:r>
        <w:rPr>
          <w:rFonts w:hint="eastAsia" w:asciiTheme="majorEastAsia" w:hAnsiTheme="majorEastAsia" w:eastAsiaTheme="majorEastAsia" w:cstheme="majorEastAsia"/>
          <w:sz w:val="28"/>
          <w:szCs w:val="28"/>
        </w:rPr>
        <w:t>经过几年的“保险+期货”模式结合精准扶贫的探索实践发现，“保险+期货”模式不仅是利用期货市场的专业优势为农业和贫困地区精准“造血”，助力实现农产品价格波动风险的长期可持续管理，推动贫困地区产业升级，又可使中国农业的风险管理和精准脱贫实现增“智”，在项目实施过程中的各种期货专业培训和指导，改变了参保方原有的思维定式，注入了金融思想的活水，提升了他们金融知识和风险管理的意识与理念。“保险+期货”模式为中国农民的收入保障和农业的稳定供给探索出了一条新路径，得到了试点地区政府和参保农户的广泛认可。</w:t>
      </w:r>
    </w:p>
    <w:p>
      <w:pPr>
        <w:keepNext w:val="0"/>
        <w:keepLines w:val="0"/>
        <w:pageBreakBefore w:val="0"/>
        <w:kinsoku/>
        <w:wordWrap/>
        <w:overflowPunct/>
        <w:topLinePunct w:val="0"/>
        <w:autoSpaceDE/>
        <w:autoSpaceDN/>
        <w:bidi w:val="0"/>
        <w:adjustRightInd/>
        <w:snapToGrid/>
        <w:spacing w:line="520" w:lineRule="exact"/>
        <w:rPr>
          <w:rFonts w:hint="default" w:ascii="宋体" w:hAnsi="宋体"/>
          <w:sz w:val="30"/>
          <w:szCs w:val="30"/>
          <w:lang w:val="en-US"/>
        </w:rPr>
      </w:pPr>
      <w:r>
        <w:rPr>
          <w:rFonts w:hint="eastAsia" w:ascii="宋体" w:hAnsi="宋体"/>
          <w:sz w:val="30"/>
          <w:szCs w:val="30"/>
        </w:rPr>
        <w:t>6.4.3.</w:t>
      </w:r>
      <w:r>
        <w:rPr>
          <w:rFonts w:hint="eastAsia" w:ascii="宋体" w:hAnsi="宋体"/>
          <w:sz w:val="30"/>
          <w:szCs w:val="30"/>
          <w:lang w:val="en-US" w:eastAsia="zh-CN"/>
        </w:rPr>
        <w:t>2  捐赠及其他公益事业</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30"/>
          <w:szCs w:val="30"/>
        </w:rPr>
      </w:pPr>
      <w:r>
        <w:rPr>
          <w:rFonts w:hint="eastAsia" w:ascii="宋体" w:hAnsi="宋体"/>
          <w:sz w:val="30"/>
          <w:szCs w:val="30"/>
        </w:rPr>
        <w:t>除积极利用期货行业工具进行产业精准扶贫外，公司还积极通过结对帮扶、捐款捐物等手段介入精准扶贫和社会公益慈善活动。</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30"/>
          <w:szCs w:val="30"/>
          <w:lang w:val="en-US" w:eastAsia="zh-CN"/>
        </w:rPr>
      </w:pPr>
      <w:r>
        <w:rPr>
          <w:rFonts w:hint="eastAsia" w:ascii="宋体" w:hAnsi="宋体"/>
          <w:sz w:val="30"/>
          <w:szCs w:val="30"/>
          <w:lang w:val="en-US" w:eastAsia="zh-CN"/>
        </w:rPr>
        <w:t>2020年2月，为支持新冠疫情的防疫治疗工作，公司紧急筹资20万捐献华山医院传染病学顶尖团队——张文宏团队，所有款项全部定向用于新冠疫情的定向研究和治疗。</w:t>
      </w:r>
    </w:p>
    <w:p>
      <w:pPr>
        <w:keepNext w:val="0"/>
        <w:keepLines w:val="0"/>
        <w:pageBreakBefore w:val="0"/>
        <w:kinsoku/>
        <w:wordWrap/>
        <w:overflowPunct/>
        <w:topLinePunct w:val="0"/>
        <w:autoSpaceDE/>
        <w:autoSpaceDN/>
        <w:bidi w:val="0"/>
        <w:adjustRightInd/>
        <w:snapToGrid/>
        <w:spacing w:line="520" w:lineRule="exact"/>
        <w:ind w:firstLine="601"/>
        <w:rPr>
          <w:rFonts w:hint="default" w:ascii="宋体" w:hAnsi="宋体"/>
          <w:sz w:val="30"/>
          <w:szCs w:val="30"/>
          <w:lang w:val="en-US" w:eastAsia="zh-CN"/>
        </w:rPr>
      </w:pPr>
      <w:r>
        <w:rPr>
          <w:rFonts w:hint="eastAsia" w:ascii="宋体" w:hAnsi="宋体"/>
          <w:sz w:val="30"/>
          <w:szCs w:val="30"/>
          <w:lang w:val="en-US" w:eastAsia="zh-CN"/>
        </w:rPr>
        <w:t>2020年2月，公司党支部开展缴纳特殊党费活动，筹资10000多元，全部用于对抗新冠疫情的防治捐赠工作。</w:t>
      </w:r>
    </w:p>
    <w:p>
      <w:pPr>
        <w:keepNext w:val="0"/>
        <w:keepLines w:val="0"/>
        <w:pageBreakBefore w:val="0"/>
        <w:kinsoku/>
        <w:wordWrap/>
        <w:overflowPunct/>
        <w:topLinePunct w:val="0"/>
        <w:autoSpaceDE/>
        <w:autoSpaceDN/>
        <w:bidi w:val="0"/>
        <w:adjustRightInd/>
        <w:snapToGrid/>
        <w:spacing w:line="520" w:lineRule="exact"/>
        <w:ind w:firstLine="601"/>
        <w:rPr>
          <w:rFonts w:hint="default" w:ascii="宋体" w:hAnsi="宋体"/>
          <w:sz w:val="30"/>
          <w:szCs w:val="30"/>
          <w:lang w:val="en-US" w:eastAsia="zh-CN"/>
        </w:rPr>
      </w:pPr>
      <w:r>
        <w:rPr>
          <w:rFonts w:hint="eastAsia" w:ascii="宋体" w:hAnsi="宋体"/>
          <w:sz w:val="30"/>
          <w:szCs w:val="30"/>
          <w:lang w:val="en-US" w:eastAsia="zh-CN"/>
        </w:rPr>
        <w:t>2020年2月—12月，公司总部、北京分公司、大连分公司、福建分公司、成都营业部、海口营业部、武汉营业部，向社会各界捐赠价值价值约7万元的抗疫物资。</w:t>
      </w:r>
    </w:p>
    <w:p>
      <w:pPr>
        <w:pStyle w:val="18"/>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textAlignment w:val="top"/>
        <w:rPr>
          <w:rFonts w:hint="eastAsia" w:ascii="宋体" w:hAnsi="宋体"/>
          <w:sz w:val="30"/>
          <w:szCs w:val="30"/>
          <w:lang w:val="en-US" w:eastAsia="zh-CN"/>
        </w:rPr>
      </w:pPr>
      <w:r>
        <w:rPr>
          <w:rFonts w:hint="eastAsia" w:ascii="宋体" w:hAnsi="宋体"/>
          <w:sz w:val="30"/>
          <w:szCs w:val="30"/>
          <w:lang w:val="en-US" w:eastAsia="zh-CN"/>
        </w:rPr>
        <w:t>2020年2—6月，</w:t>
      </w:r>
      <w:r>
        <w:rPr>
          <w:rFonts w:hint="eastAsia"/>
          <w:color w:val="000000" w:themeColor="text1"/>
          <w:sz w:val="28"/>
          <w:szCs w:val="28"/>
          <w:lang w:val="en-US" w:eastAsia="zh-CN"/>
          <w14:textFill>
            <w14:solidFill>
              <w14:schemeClr w14:val="tx1"/>
            </w14:solidFill>
          </w14:textFill>
        </w:rPr>
        <w:t>公司</w:t>
      </w:r>
      <w:r>
        <w:rPr>
          <w:rFonts w:hint="eastAsia"/>
          <w:color w:val="000000" w:themeColor="text1"/>
          <w:sz w:val="28"/>
          <w:szCs w:val="28"/>
          <w14:textFill>
            <w14:solidFill>
              <w14:schemeClr w14:val="tx1"/>
            </w14:solidFill>
          </w14:textFill>
        </w:rPr>
        <w:t>向数十家实体企业赠送或提供了期权服务</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其中，</w:t>
      </w:r>
      <w:r>
        <w:rPr>
          <w:rFonts w:hint="eastAsia"/>
          <w:color w:val="000000" w:themeColor="text1"/>
          <w:sz w:val="28"/>
          <w:szCs w:val="28"/>
          <w14:textFill>
            <w14:solidFill>
              <w14:schemeClr w14:val="tx1"/>
            </w14:solidFill>
          </w14:textFill>
        </w:rPr>
        <w:t>向青岛中投泰华国际贸易有限公司赠送保障规模合计为1550吨的PP亚式看涨期权，为1100万口罩原材料货值进行保障，锁定了10.23亿只口罩生产的价格风险</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向浙商中拓集团股份有限公司等20家企业提供了场外期权服务，累计权利金2200万元，为21亿元的货物提供了价格保障。</w:t>
      </w:r>
    </w:p>
    <w:p>
      <w:pPr>
        <w:keepNext w:val="0"/>
        <w:keepLines w:val="0"/>
        <w:pageBreakBefore w:val="0"/>
        <w:kinsoku/>
        <w:wordWrap/>
        <w:overflowPunct/>
        <w:topLinePunct w:val="0"/>
        <w:autoSpaceDE/>
        <w:autoSpaceDN/>
        <w:bidi w:val="0"/>
        <w:adjustRightInd/>
        <w:snapToGrid/>
        <w:spacing w:line="520" w:lineRule="exact"/>
        <w:ind w:firstLine="601"/>
        <w:rPr>
          <w:rFonts w:hint="eastAsia" w:ascii="宋体" w:hAnsi="宋体"/>
          <w:sz w:val="30"/>
          <w:szCs w:val="30"/>
          <w:lang w:val="en-US" w:eastAsia="zh-CN"/>
        </w:rPr>
      </w:pPr>
      <w:r>
        <w:rPr>
          <w:rFonts w:hint="eastAsia" w:ascii="宋体" w:hAnsi="宋体"/>
          <w:sz w:val="30"/>
          <w:szCs w:val="30"/>
          <w:lang w:val="en-US" w:eastAsia="zh-CN"/>
        </w:rPr>
        <w:t>2020年5月，公司对辽宁省辽西地区开展消费扶贫工作，采购了价值4.6万元的农产品，支持当地农村地区的脱贫事业。</w:t>
      </w:r>
    </w:p>
    <w:p>
      <w:pPr>
        <w:keepNext w:val="0"/>
        <w:keepLines w:val="0"/>
        <w:pageBreakBefore w:val="0"/>
        <w:kinsoku/>
        <w:wordWrap/>
        <w:overflowPunct/>
        <w:topLinePunct w:val="0"/>
        <w:autoSpaceDE/>
        <w:autoSpaceDN/>
        <w:bidi w:val="0"/>
        <w:adjustRightInd/>
        <w:snapToGrid/>
        <w:spacing w:line="520" w:lineRule="exact"/>
        <w:ind w:firstLine="601"/>
        <w:rPr>
          <w:rFonts w:ascii="宋体" w:hAnsi="宋体"/>
          <w:sz w:val="30"/>
          <w:szCs w:val="30"/>
        </w:rPr>
      </w:pPr>
      <w:r>
        <w:rPr>
          <w:rFonts w:hint="eastAsia" w:ascii="宋体" w:hAnsi="宋体"/>
          <w:sz w:val="30"/>
          <w:szCs w:val="30"/>
          <w:lang w:val="en-US" w:eastAsia="zh-CN"/>
        </w:rPr>
        <w:t>2020年10月，公司对陕西省延长县开展消费扶贫工作，采购2.3万元的农产品，支持当地防止返贫事业。</w:t>
      </w:r>
    </w:p>
    <w:p>
      <w:pPr>
        <w:keepNext w:val="0"/>
        <w:keepLines w:val="0"/>
        <w:pageBreakBefore w:val="0"/>
        <w:kinsoku/>
        <w:wordWrap/>
        <w:overflowPunct/>
        <w:topLinePunct w:val="0"/>
        <w:autoSpaceDE/>
        <w:autoSpaceDN/>
        <w:bidi w:val="0"/>
        <w:adjustRightInd/>
        <w:snapToGrid/>
        <w:spacing w:line="520" w:lineRule="exact"/>
        <w:ind w:firstLine="601"/>
        <w:rPr>
          <w:rFonts w:hint="default" w:ascii="宋体" w:hAnsi="宋体"/>
          <w:sz w:val="30"/>
          <w:szCs w:val="30"/>
          <w:lang w:val="en-US" w:eastAsia="zh-CN"/>
        </w:rPr>
      </w:pPr>
      <w:r>
        <w:rPr>
          <w:rFonts w:hint="eastAsia" w:ascii="宋体" w:hAnsi="宋体"/>
          <w:sz w:val="30"/>
          <w:szCs w:val="30"/>
        </w:rPr>
        <w:t>20</w:t>
      </w:r>
      <w:r>
        <w:rPr>
          <w:rFonts w:hint="eastAsia" w:ascii="宋体" w:hAnsi="宋体"/>
          <w:sz w:val="30"/>
          <w:szCs w:val="30"/>
          <w:lang w:val="en-US" w:eastAsia="zh-CN"/>
        </w:rPr>
        <w:t>20</w:t>
      </w:r>
      <w:r>
        <w:rPr>
          <w:rFonts w:hint="eastAsia" w:ascii="宋体" w:hAnsi="宋体"/>
          <w:sz w:val="30"/>
          <w:szCs w:val="30"/>
        </w:rPr>
        <w:t>年，公司与社会公益组织“爱传递.再生电脑教室”合作，</w:t>
      </w:r>
      <w:r>
        <w:rPr>
          <w:rFonts w:hint="eastAsia" w:ascii="宋体" w:hAnsi="宋体"/>
          <w:sz w:val="30"/>
          <w:szCs w:val="30"/>
          <w:lang w:val="en-US" w:eastAsia="zh-CN"/>
        </w:rPr>
        <w:t>先后在8月和12月两次</w:t>
      </w:r>
      <w:r>
        <w:rPr>
          <w:rFonts w:hint="eastAsia" w:ascii="宋体" w:hAnsi="宋体"/>
          <w:sz w:val="30"/>
          <w:szCs w:val="30"/>
        </w:rPr>
        <w:t>发起闲置电脑及信息设备“献爱心”捐赠活动，号召总部部门、分支机构和员工踊跃捐出旧电脑、旧平板电脑及旧手机等，积极</w:t>
      </w:r>
      <w:r>
        <w:rPr>
          <w:rFonts w:hint="eastAsia" w:ascii="宋体" w:hAnsi="宋体"/>
          <w:sz w:val="30"/>
          <w:szCs w:val="30"/>
          <w:lang w:val="en-US" w:eastAsia="zh-CN"/>
        </w:rPr>
        <w:t>支持</w:t>
      </w:r>
      <w:r>
        <w:rPr>
          <w:rFonts w:hint="eastAsia" w:ascii="宋体" w:hAnsi="宋体"/>
          <w:sz w:val="30"/>
          <w:szCs w:val="30"/>
        </w:rPr>
        <w:t>贫困地区少年儿童信息教育事业，</w:t>
      </w:r>
      <w:r>
        <w:rPr>
          <w:rFonts w:hint="eastAsia" w:ascii="宋体" w:hAnsi="宋体"/>
          <w:sz w:val="30"/>
          <w:szCs w:val="30"/>
          <w:lang w:val="en-US" w:eastAsia="zh-CN"/>
        </w:rPr>
        <w:t>两次活动累计捐赠旧台式机86台、笔记本8台、打印机5台、扫描仪1台、除湿机1台、碎纸机1台。</w:t>
      </w:r>
    </w:p>
    <w:p>
      <w:pPr>
        <w:keepNext w:val="0"/>
        <w:keepLines w:val="0"/>
        <w:pageBreakBefore w:val="0"/>
        <w:kinsoku/>
        <w:wordWrap/>
        <w:overflowPunct/>
        <w:topLinePunct w:val="0"/>
        <w:autoSpaceDE/>
        <w:autoSpaceDN/>
        <w:bidi w:val="0"/>
        <w:adjustRightInd/>
        <w:snapToGrid/>
        <w:spacing w:line="520" w:lineRule="exact"/>
        <w:rPr>
          <w:rFonts w:ascii="宋体" w:hAnsi="宋体" w:cs="宋体"/>
          <w:sz w:val="28"/>
          <w:szCs w:val="28"/>
        </w:rPr>
      </w:pPr>
      <w:r>
        <w:rPr>
          <w:rFonts w:hint="eastAsia" w:ascii="宋体" w:hAnsi="宋体" w:cs="宋体"/>
          <w:sz w:val="28"/>
          <w:szCs w:val="28"/>
        </w:rPr>
        <w:t>6.4.4志愿者服务</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cs="宋体"/>
          <w:sz w:val="28"/>
          <w:szCs w:val="28"/>
        </w:rPr>
      </w:pPr>
      <w:r>
        <w:rPr>
          <w:rFonts w:hint="eastAsia" w:ascii="宋体" w:hAnsi="宋体" w:cs="宋体"/>
          <w:sz w:val="28"/>
          <w:szCs w:val="28"/>
        </w:rPr>
        <w:t>“服务社区、回馈社会，弘扬正能量”的精神是公司全体员工奉行的理念。公司积极配合党政机关、主管机构、金融期货行业组织以及社区等各方，组织员工参与各类社会公益志愿者活动，全年累计参与包括投资者教育、献血、公益健身各类公益活动100多次，投入员工800多人次</w:t>
      </w:r>
      <w:r>
        <w:rPr>
          <w:rFonts w:hint="eastAsia" w:ascii="宋体" w:hAnsi="宋体" w:cs="宋体"/>
          <w:sz w:val="28"/>
          <w:szCs w:val="28"/>
          <w:lang w:eastAsia="zh-CN"/>
        </w:rPr>
        <w:t>，</w:t>
      </w:r>
      <w:r>
        <w:rPr>
          <w:rFonts w:hint="eastAsia" w:ascii="宋体" w:hAnsi="宋体" w:cs="宋体"/>
          <w:sz w:val="28"/>
          <w:szCs w:val="28"/>
          <w:lang w:val="en-US" w:eastAsia="zh-CN"/>
        </w:rPr>
        <w:t>约1万余人收益于公司的各项社会公益事业</w:t>
      </w:r>
      <w:r>
        <w:rPr>
          <w:rFonts w:hint="eastAsia" w:ascii="宋体" w:hAnsi="宋体" w:cs="宋体"/>
          <w:sz w:val="28"/>
          <w:szCs w:val="28"/>
        </w:rPr>
        <w:t>。</w:t>
      </w:r>
    </w:p>
    <w:p>
      <w:pPr>
        <w:keepNext w:val="0"/>
        <w:keepLines w:val="0"/>
        <w:pageBreakBefore w:val="0"/>
        <w:kinsoku/>
        <w:wordWrap/>
        <w:overflowPunct/>
        <w:topLinePunct w:val="0"/>
        <w:autoSpaceDE/>
        <w:autoSpaceDN/>
        <w:bidi w:val="0"/>
        <w:adjustRightInd/>
        <w:snapToGrid/>
        <w:spacing w:line="520" w:lineRule="exact"/>
        <w:rPr>
          <w:rFonts w:hint="default" w:ascii="宋体" w:hAnsi="宋体" w:eastAsia="宋体" w:cs="宋体"/>
          <w:sz w:val="28"/>
          <w:szCs w:val="28"/>
          <w:lang w:val="en-US" w:eastAsia="zh-CN"/>
        </w:rPr>
      </w:pPr>
      <w:r>
        <w:rPr>
          <w:rFonts w:hint="eastAsia" w:ascii="宋体" w:hAnsi="宋体" w:cs="宋体"/>
          <w:sz w:val="28"/>
          <w:szCs w:val="28"/>
        </w:rPr>
        <w:t>6.4.</w:t>
      </w:r>
      <w:r>
        <w:rPr>
          <w:rFonts w:hint="eastAsia" w:ascii="宋体" w:hAnsi="宋体" w:cs="宋体"/>
          <w:sz w:val="28"/>
          <w:szCs w:val="28"/>
          <w:lang w:val="en-US" w:eastAsia="zh-CN"/>
        </w:rPr>
        <w:t>5抗疫复工和帮助全社会抗击新冠疫情</w:t>
      </w:r>
    </w:p>
    <w:p>
      <w:pPr>
        <w:keepNext w:val="0"/>
        <w:keepLines w:val="0"/>
        <w:pageBreakBefore w:val="0"/>
        <w:kinsoku/>
        <w:wordWrap/>
        <w:overflowPunct/>
        <w:topLinePunct w:val="0"/>
        <w:autoSpaceDE/>
        <w:autoSpaceDN/>
        <w:bidi w:val="0"/>
        <w:adjustRightInd/>
        <w:snapToGrid/>
        <w:spacing w:line="520" w:lineRule="exact"/>
        <w:ind w:firstLine="645"/>
        <w:jc w:val="left"/>
        <w:rPr>
          <w:rFonts w:ascii="宋体" w:hAnsi="宋体"/>
          <w:sz w:val="28"/>
          <w:szCs w:val="28"/>
        </w:rPr>
      </w:pPr>
      <w:r>
        <w:rPr>
          <w:rFonts w:hint="eastAsia" w:ascii="宋体" w:hAnsi="宋体"/>
          <w:sz w:val="28"/>
          <w:szCs w:val="28"/>
        </w:rPr>
        <w:t>2020年元月新冠疫情发生以来，公司</w:t>
      </w:r>
      <w:r>
        <w:rPr>
          <w:rFonts w:hint="eastAsia"/>
          <w:color w:val="000000"/>
          <w:sz w:val="28"/>
          <w:szCs w:val="28"/>
        </w:rPr>
        <w:t>牢牢把握“严格履行抗疫社会责任”和“平稳保障运营安全”两个基本点，</w:t>
      </w:r>
      <w:r>
        <w:rPr>
          <w:rFonts w:hint="eastAsia" w:ascii="宋体" w:hAnsi="宋体"/>
          <w:sz w:val="28"/>
          <w:szCs w:val="28"/>
        </w:rPr>
        <w:t>实施抗疫复工期“居家办公”和“A/B岗和A/B地隔离上岗”、做好现场消杀、推广网络办公和营销等11项措施，坚持推行“不裁员、不减薪”积极的人力资源政策，确保防疫信息全透明上报，取得了2月3日准时复工、保持0发病等一系列工作成绩，公司运行始终稳定。</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sz w:val="28"/>
          <w:szCs w:val="28"/>
        </w:rPr>
      </w:pPr>
      <w:r>
        <w:rPr>
          <w:rFonts w:hint="eastAsia" w:ascii="宋体" w:hAnsi="宋体"/>
          <w:sz w:val="28"/>
          <w:szCs w:val="28"/>
        </w:rPr>
        <w:t>2月1日—2月2日，公司风控、结算、客服、技术等部门为应对节日期间市场风险积累，开展系统连通性测试、压力测试、仓位扫描、试算，做好一系列复工准备工作。2月3日复工后，疫情影响全面释放，期货市场发生史诗级行情，部分期货企业受到重创。公司在完善应急措施保障下，平稳应对，未发生重大险情，成功维护了投资者和自身利益。</w:t>
      </w:r>
    </w:p>
    <w:p>
      <w:pPr>
        <w:keepNext w:val="0"/>
        <w:keepLines w:val="0"/>
        <w:pageBreakBefore w:val="0"/>
        <w:kinsoku/>
        <w:wordWrap/>
        <w:overflowPunct/>
        <w:topLinePunct w:val="0"/>
        <w:autoSpaceDE/>
        <w:autoSpaceDN/>
        <w:bidi w:val="0"/>
        <w:adjustRightInd/>
        <w:snapToGrid/>
        <w:spacing w:line="520" w:lineRule="exact"/>
        <w:ind w:firstLine="645"/>
        <w:jc w:val="left"/>
        <w:rPr>
          <w:rFonts w:ascii="宋体" w:hAnsi="宋体"/>
          <w:sz w:val="28"/>
          <w:szCs w:val="28"/>
        </w:rPr>
      </w:pPr>
      <w:r>
        <w:rPr>
          <w:rFonts w:hint="eastAsia" w:ascii="宋体" w:hAnsi="宋体"/>
          <w:sz w:val="28"/>
          <w:szCs w:val="28"/>
        </w:rPr>
        <w:t>为帮助实体企业抗疫复产，公司向数十家实体企业赠送或提供了期权服务，含：向青岛中投泰华国际贸易有限公司赠送保障规模合计为1550吨的PP亚式看涨期权，为1100万口罩原材料货值进行保障，锁定了10.23亿只口罩生产的价格风险；向浙商中拓集团股份有限公司等20家企业提供了场外期权服务，累计权利金2200万元，为21亿元的货物提供了价格保障。疫情发生后，公司还累计向社会各界捐款、捐物25万余元，含：向上海市华山医院张文宏团队定向捐款20万元等</w:t>
      </w:r>
      <w:r>
        <w:rPr>
          <w:rFonts w:hint="eastAsia"/>
          <w:color w:val="000000"/>
          <w:sz w:val="28"/>
          <w:szCs w:val="28"/>
        </w:rPr>
        <w:t>。</w:t>
      </w:r>
    </w:p>
    <w:p>
      <w:pPr>
        <w:pStyle w:val="18"/>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textAlignment w:val="top"/>
        <w:rPr>
          <w:rFonts w:hint="eastAsia" w:ascii="宋体" w:hAnsi="宋体" w:eastAsia="宋体" w:cs="宋体"/>
          <w:sz w:val="28"/>
          <w:szCs w:val="28"/>
          <w:lang w:eastAsia="zh-CN"/>
        </w:rPr>
      </w:pPr>
      <w:r>
        <w:rPr>
          <w:rFonts w:hint="eastAsia"/>
          <w:color w:val="000000"/>
          <w:sz w:val="28"/>
          <w:szCs w:val="28"/>
        </w:rPr>
        <w:t>公司严谨、细致、不留死角的抗疫措施和积极助力社会复工复产的义举获得了证监会、上海市金融办、静安区金融办、静安区商委、街道办等方面积极评价，被树立为静安区抗疫工作典型。时任上海市委常委、组织部长、现任上海市委副书记于绍良同志，静安区政协主席丁宝定同志等，在疫情最艰难的时期曾赴新湖期货指导工作</w:t>
      </w:r>
      <w:r>
        <w:rPr>
          <w:rFonts w:hint="eastAsia"/>
          <w:color w:val="000000"/>
          <w:sz w:val="28"/>
          <w:szCs w:val="28"/>
          <w:lang w:eastAsia="zh-CN"/>
        </w:rPr>
        <w:t>。</w:t>
      </w:r>
    </w:p>
    <w:p>
      <w:pPr>
        <w:pStyle w:val="19"/>
        <w:keepNext w:val="0"/>
        <w:keepLines w:val="0"/>
        <w:pageBreakBefore w:val="0"/>
        <w:kinsoku/>
        <w:wordWrap/>
        <w:overflowPunct/>
        <w:topLinePunct w:val="0"/>
        <w:autoSpaceDE/>
        <w:autoSpaceDN/>
        <w:bidi w:val="0"/>
        <w:adjustRightInd/>
        <w:snapToGrid/>
        <w:spacing w:line="520" w:lineRule="exact"/>
      </w:pPr>
      <w:bookmarkStart w:id="31" w:name="_Toc38626406"/>
      <w:r>
        <w:rPr>
          <w:rFonts w:hint="eastAsia"/>
        </w:rPr>
        <w:t>7. 环境责任与业绩</w:t>
      </w:r>
      <w:bookmarkEnd w:id="31"/>
    </w:p>
    <w:p>
      <w:pPr>
        <w:pStyle w:val="2"/>
        <w:keepNext w:val="0"/>
        <w:keepLines w:val="0"/>
        <w:pageBreakBefore w:val="0"/>
        <w:kinsoku/>
        <w:wordWrap/>
        <w:overflowPunct/>
        <w:topLinePunct w:val="0"/>
        <w:autoSpaceDE/>
        <w:autoSpaceDN/>
        <w:bidi w:val="0"/>
        <w:adjustRightInd/>
        <w:snapToGrid/>
        <w:spacing w:line="520" w:lineRule="exact"/>
      </w:pPr>
      <w:bookmarkStart w:id="32" w:name="_Toc38626407"/>
      <w:r>
        <w:rPr>
          <w:rFonts w:hint="eastAsia"/>
        </w:rPr>
        <w:t>7.1节能降耗</w:t>
      </w:r>
      <w:bookmarkEnd w:id="32"/>
    </w:p>
    <w:p>
      <w:pPr>
        <w:keepNext w:val="0"/>
        <w:keepLines w:val="0"/>
        <w:pageBreakBefore w:val="0"/>
        <w:kinsoku/>
        <w:wordWrap/>
        <w:overflowPunct/>
        <w:topLinePunct w:val="0"/>
        <w:autoSpaceDE/>
        <w:autoSpaceDN/>
        <w:bidi w:val="0"/>
        <w:adjustRightInd/>
        <w:snapToGrid/>
        <w:spacing w:line="520" w:lineRule="exact"/>
        <w:ind w:firstLine="560" w:firstLineChars="200"/>
        <w:rPr>
          <w:rFonts w:ascii="宋体" w:hAnsi="宋体" w:cs="宋体"/>
          <w:sz w:val="28"/>
          <w:szCs w:val="28"/>
        </w:rPr>
      </w:pPr>
      <w:r>
        <w:rPr>
          <w:rFonts w:hint="eastAsia" w:ascii="宋体" w:hAnsi="宋体" w:cs="宋体"/>
          <w:sz w:val="28"/>
          <w:szCs w:val="28"/>
        </w:rPr>
        <w:t>公司从自身做起，严格贯彻“降本增效，绿色办公”理念。公司在实际工作中，通过定期检查和督促等方式，对公务用车油耗、资产采购、报废资产处置、物业项目审批、基建工程成本控制、集中采购和会务、办公成本等方面严格把控，强调可重复利用和再生利用理念，年均减少各类支出数十万元。</w:t>
      </w:r>
    </w:p>
    <w:p>
      <w:pPr>
        <w:pStyle w:val="2"/>
        <w:keepNext w:val="0"/>
        <w:keepLines w:val="0"/>
        <w:pageBreakBefore w:val="0"/>
        <w:kinsoku/>
        <w:wordWrap/>
        <w:overflowPunct/>
        <w:topLinePunct w:val="0"/>
        <w:autoSpaceDE/>
        <w:autoSpaceDN/>
        <w:bidi w:val="0"/>
        <w:adjustRightInd/>
        <w:snapToGrid/>
        <w:spacing w:line="520" w:lineRule="exact"/>
      </w:pPr>
      <w:bookmarkStart w:id="33" w:name="_Toc38626408"/>
      <w:r>
        <w:rPr>
          <w:rFonts w:hint="eastAsia"/>
        </w:rPr>
        <w:t>7.2大力倡导“绿色办公”</w:t>
      </w:r>
      <w:bookmarkEnd w:id="33"/>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sz w:val="28"/>
          <w:szCs w:val="28"/>
        </w:rPr>
      </w:pPr>
      <w:r>
        <w:rPr>
          <w:rFonts w:hint="eastAsia" w:ascii="宋体" w:hAnsi="宋体" w:cs="宋体"/>
          <w:sz w:val="28"/>
          <w:szCs w:val="28"/>
        </w:rPr>
        <w:t>全公司大力倡导“绿色办公”，改造耗能耗水设备，提高员工节约意识，夏季室温严格控制在26度；逐步推广无纸化办公，并规范报废资产处置，尽可能重复利用办公家具；加强对公务用车的管理，合理调配车辆，减少企业用油；加强用易耗品的控制管理，以达到节约办公经费，降低资源消耗的目的。</w:t>
      </w:r>
    </w:p>
    <w:p>
      <w:pPr>
        <w:pStyle w:val="19"/>
        <w:keepNext w:val="0"/>
        <w:keepLines w:val="0"/>
        <w:pageBreakBefore w:val="0"/>
        <w:widowControl w:val="0"/>
        <w:numPr>
          <w:ilvl w:val="0"/>
          <w:numId w:val="1"/>
        </w:numPr>
        <w:kinsoku/>
        <w:wordWrap/>
        <w:overflowPunct/>
        <w:topLinePunct w:val="0"/>
        <w:autoSpaceDE/>
        <w:autoSpaceDN/>
        <w:bidi w:val="0"/>
        <w:adjustRightInd/>
        <w:snapToGrid/>
        <w:spacing w:before="0" w:after="0" w:line="520" w:lineRule="exact"/>
        <w:textAlignment w:val="auto"/>
        <w:rPr>
          <w:rFonts w:hint="eastAsia"/>
        </w:rPr>
      </w:pPr>
      <w:bookmarkStart w:id="34" w:name="_Toc38626409"/>
      <w:r>
        <w:rPr>
          <w:rFonts w:hint="eastAsia"/>
        </w:rPr>
        <w:t>附录</w:t>
      </w:r>
      <w:bookmarkEnd w:id="34"/>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ascii="宋体" w:hAnsi="宋体"/>
          <w:b/>
          <w:sz w:val="28"/>
          <w:szCs w:val="28"/>
        </w:rPr>
      </w:pPr>
      <w:r>
        <w:rPr>
          <w:rFonts w:hint="eastAsia" w:ascii="宋体" w:hAnsi="宋体"/>
          <w:b/>
          <w:sz w:val="28"/>
          <w:szCs w:val="28"/>
        </w:rPr>
        <w:t>附录一：20</w:t>
      </w:r>
      <w:r>
        <w:rPr>
          <w:rFonts w:hint="eastAsia" w:ascii="宋体" w:hAnsi="宋体"/>
          <w:b/>
          <w:sz w:val="28"/>
          <w:szCs w:val="28"/>
          <w:lang w:val="en-US" w:eastAsia="zh-CN"/>
        </w:rPr>
        <w:t>20</w:t>
      </w:r>
      <w:r>
        <w:rPr>
          <w:rFonts w:hint="eastAsia" w:ascii="宋体" w:hAnsi="宋体"/>
          <w:b/>
          <w:sz w:val="28"/>
          <w:szCs w:val="28"/>
        </w:rPr>
        <w:t>年度公司大事记</w:t>
      </w:r>
    </w:p>
    <w:p>
      <w:pPr>
        <w:keepNext w:val="0"/>
        <w:keepLines w:val="0"/>
        <w:pageBreakBefore w:val="0"/>
        <w:widowControl/>
        <w:kinsoku/>
        <w:wordWrap/>
        <w:overflowPunct/>
        <w:topLinePunct w:val="0"/>
        <w:autoSpaceDE/>
        <w:autoSpaceDN/>
        <w:bidi w:val="0"/>
        <w:adjustRightInd/>
        <w:snapToGrid/>
        <w:spacing w:line="490" w:lineRule="exact"/>
        <w:ind w:firstLine="555"/>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互助共情、齐心抗疫</w:t>
      </w:r>
    </w:p>
    <w:p>
      <w:pPr>
        <w:keepNext w:val="0"/>
        <w:keepLines w:val="0"/>
        <w:pageBreakBefore w:val="0"/>
        <w:kinsoku/>
        <w:wordWrap/>
        <w:overflowPunct/>
        <w:topLinePunct w:val="0"/>
        <w:autoSpaceDE/>
        <w:autoSpaceDN/>
        <w:bidi w:val="0"/>
        <w:adjustRightInd/>
        <w:snapToGrid/>
        <w:spacing w:line="49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公司卓有成效的抗疫复工工作和支援社会各界的义举得到证监会、中期协、上海市、静安区等相关方面一致好评，被树为区域企业抗疫典型。时任上海市委常委、组织部长、现任上海市委副书记于绍良，静安区政协主席丁宝定分别莅临公司走访指导工作。</w:t>
      </w:r>
    </w:p>
    <w:p>
      <w:pPr>
        <w:keepNext w:val="0"/>
        <w:keepLines w:val="0"/>
        <w:pageBreakBefore w:val="0"/>
        <w:kinsoku/>
        <w:wordWrap/>
        <w:overflowPunct/>
        <w:topLinePunct w:val="0"/>
        <w:autoSpaceDE/>
        <w:autoSpaceDN/>
        <w:bidi w:val="0"/>
        <w:adjustRightInd/>
        <w:snapToGrid/>
        <w:spacing w:line="49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启动IPO</w:t>
      </w:r>
      <w:r>
        <w:rPr>
          <w:rFonts w:hint="eastAsia" w:asciiTheme="minorEastAsia" w:hAnsiTheme="minorEastAsia" w:eastAsiaTheme="minorEastAsia" w:cstheme="minorEastAsia"/>
          <w:sz w:val="28"/>
          <w:szCs w:val="28"/>
          <w:lang w:val="en-US" w:eastAsia="zh-CN"/>
        </w:rPr>
        <w:t>上市</w:t>
      </w:r>
    </w:p>
    <w:p>
      <w:pPr>
        <w:keepNext w:val="0"/>
        <w:keepLines w:val="0"/>
        <w:pageBreakBefore w:val="0"/>
        <w:kinsoku/>
        <w:wordWrap/>
        <w:overflowPunct/>
        <w:topLinePunct w:val="0"/>
        <w:autoSpaceDE/>
        <w:autoSpaceDN/>
        <w:bidi w:val="0"/>
        <w:adjustRightInd/>
        <w:snapToGrid/>
        <w:spacing w:line="49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2020年1月，公司启动IPO上市进程。4月16日，公司召开股份公司创立大会和第一次董事会、监事会；4月29日，经过工商和监管核准，公司正式更名为新湖期货股份有限公司，完成公司股改工作。5月21日公司进入IPO上市辅导期，年内公司开展了历史状况梳理、2018年1月至2020年11月财务资料审计、子公司全面尽职调查、董监高关联关系和流水调查等一系列工作。</w:t>
      </w:r>
    </w:p>
    <w:p>
      <w:pPr>
        <w:keepNext w:val="0"/>
        <w:keepLines w:val="0"/>
        <w:pageBreakBefore w:val="0"/>
        <w:kinsoku/>
        <w:wordWrap/>
        <w:overflowPunct/>
        <w:topLinePunct w:val="0"/>
        <w:autoSpaceDE/>
        <w:autoSpaceDN/>
        <w:bidi w:val="0"/>
        <w:adjustRightInd/>
        <w:snapToGrid/>
        <w:spacing w:line="490" w:lineRule="exact"/>
        <w:ind w:firstLine="645"/>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保险+期货”扶贫模式</w:t>
      </w:r>
      <w:r>
        <w:rPr>
          <w:rFonts w:hint="eastAsia" w:asciiTheme="minorEastAsia" w:hAnsiTheme="minorEastAsia" w:eastAsiaTheme="minorEastAsia" w:cstheme="minorEastAsia"/>
          <w:bCs/>
          <w:sz w:val="28"/>
          <w:szCs w:val="28"/>
          <w:lang w:val="en-US" w:eastAsia="zh-CN"/>
        </w:rPr>
        <w:t>继续走在行业前列</w:t>
      </w:r>
    </w:p>
    <w:p>
      <w:pPr>
        <w:keepNext w:val="0"/>
        <w:keepLines w:val="0"/>
        <w:pageBreakBefore w:val="0"/>
        <w:kinsoku/>
        <w:wordWrap/>
        <w:overflowPunct/>
        <w:topLinePunct w:val="0"/>
        <w:autoSpaceDE/>
        <w:autoSpaceDN/>
        <w:bidi w:val="0"/>
        <w:adjustRightInd/>
        <w:snapToGrid/>
        <w:spacing w:line="490" w:lineRule="exact"/>
        <w:ind w:firstLine="645"/>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2020年，公司新开展“保险+期货”项目16个，覆盖黑龙江、河北、河南等13个省市自治区，覆盖建档立卡贫困户1万多户，预计最终赔付额将达5000多万元。</w:t>
      </w:r>
      <w:r>
        <w:rPr>
          <w:rFonts w:hint="eastAsia" w:asciiTheme="minorEastAsia" w:hAnsiTheme="minorEastAsia" w:eastAsiaTheme="minorEastAsia" w:cstheme="minorEastAsia"/>
          <w:sz w:val="28"/>
          <w:szCs w:val="28"/>
          <w:lang w:val="en-US" w:eastAsia="zh-CN"/>
        </w:rPr>
        <w:t>其中，</w:t>
      </w:r>
      <w:r>
        <w:rPr>
          <w:rFonts w:hint="eastAsia" w:asciiTheme="minorEastAsia" w:hAnsiTheme="minorEastAsia" w:eastAsiaTheme="minorEastAsia" w:cstheme="minorEastAsia"/>
          <w:sz w:val="28"/>
          <w:szCs w:val="28"/>
        </w:rPr>
        <w:t>海南省白沙天然橡胶县域全覆盖项目、河南省太康县“农民收入保障计划”系列项目、云南会泽县生猪饲料成本项目，为三地摘去国家级贫困的帽子作出直接贡献。</w:t>
      </w:r>
    </w:p>
    <w:p>
      <w:pPr>
        <w:keepNext w:val="0"/>
        <w:keepLines w:val="0"/>
        <w:pageBreakBefore w:val="0"/>
        <w:kinsoku/>
        <w:wordWrap/>
        <w:overflowPunct/>
        <w:topLinePunct w:val="0"/>
        <w:autoSpaceDE/>
        <w:autoSpaceDN/>
        <w:bidi w:val="0"/>
        <w:adjustRightInd/>
        <w:snapToGrid/>
        <w:spacing w:line="49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bCs/>
          <w:sz w:val="28"/>
          <w:szCs w:val="28"/>
        </w:rPr>
        <w:t>五线四板块研究体系发力，正在形成公司核心专业能力</w:t>
      </w:r>
    </w:p>
    <w:p>
      <w:pPr>
        <w:keepNext w:val="0"/>
        <w:keepLines w:val="0"/>
        <w:pageBreakBefore w:val="0"/>
        <w:kinsoku/>
        <w:wordWrap/>
        <w:overflowPunct/>
        <w:topLinePunct w:val="0"/>
        <w:autoSpaceDE/>
        <w:autoSpaceDN/>
        <w:bidi w:val="0"/>
        <w:adjustRightInd/>
        <w:snapToGrid/>
        <w:spacing w:line="49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公司对中台部门的业务资源、研究模式、管理线条进行了全面统合梳理，开始建设“立足标准化，兼顾差异化和个性化需求”的投研业务服务体系，试行积分制考核特色方案，成效显著，产出了一系列</w:t>
      </w:r>
      <w:r>
        <w:rPr>
          <w:rFonts w:hint="eastAsia" w:asciiTheme="minorEastAsia" w:hAnsiTheme="minorEastAsia" w:eastAsiaTheme="minorEastAsia" w:cstheme="minorEastAsia"/>
          <w:bCs/>
          <w:sz w:val="28"/>
          <w:szCs w:val="28"/>
        </w:rPr>
        <w:t>优秀研究成果。2019年11月至</w:t>
      </w:r>
      <w:r>
        <w:rPr>
          <w:rFonts w:hint="eastAsia" w:asciiTheme="minorEastAsia" w:hAnsiTheme="minorEastAsia" w:eastAsiaTheme="minorEastAsia" w:cstheme="minorEastAsia"/>
          <w:bCs/>
          <w:sz w:val="28"/>
          <w:szCs w:val="28"/>
          <w:lang w:val="en-US" w:eastAsia="zh-CN"/>
        </w:rPr>
        <w:t>2020年12月</w:t>
      </w:r>
      <w:r>
        <w:rPr>
          <w:rFonts w:hint="eastAsia" w:asciiTheme="minorEastAsia" w:hAnsiTheme="minorEastAsia" w:eastAsiaTheme="minorEastAsia" w:cstheme="minorEastAsia"/>
          <w:bCs/>
          <w:sz w:val="28"/>
          <w:szCs w:val="28"/>
        </w:rPr>
        <w:t>，公司“五线四板块”策略研报行情研判胜率70%以上，对公司经纪业务开发、风险管理业务交易、资管自主策略发展形成强大支持。</w:t>
      </w:r>
    </w:p>
    <w:p>
      <w:pPr>
        <w:keepNext w:val="0"/>
        <w:keepLines w:val="0"/>
        <w:pageBreakBefore w:val="0"/>
        <w:kinsoku/>
        <w:wordWrap/>
        <w:overflowPunct/>
        <w:topLinePunct w:val="0"/>
        <w:autoSpaceDE/>
        <w:autoSpaceDN/>
        <w:bidi w:val="0"/>
        <w:adjustRightInd/>
        <w:snapToGrid/>
        <w:spacing w:line="49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5</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lang w:val="en-US" w:eastAsia="zh-CN"/>
        </w:rPr>
        <w:t>7000万元</w:t>
      </w:r>
      <w:r>
        <w:rPr>
          <w:rFonts w:hint="eastAsia" w:asciiTheme="minorEastAsia" w:hAnsiTheme="minorEastAsia" w:eastAsiaTheme="minorEastAsia" w:cstheme="minorEastAsia"/>
          <w:bCs/>
          <w:sz w:val="28"/>
          <w:szCs w:val="28"/>
        </w:rPr>
        <w:t>增资新湖瑞丰</w:t>
      </w:r>
    </w:p>
    <w:p>
      <w:pPr>
        <w:keepNext w:val="0"/>
        <w:keepLines w:val="0"/>
        <w:pageBreakBefore w:val="0"/>
        <w:kinsoku/>
        <w:wordWrap/>
        <w:overflowPunct/>
        <w:topLinePunct w:val="0"/>
        <w:autoSpaceDE/>
        <w:autoSpaceDN/>
        <w:bidi w:val="0"/>
        <w:adjustRightInd/>
        <w:snapToGrid/>
        <w:spacing w:line="49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2020年4月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公司完成对上海新湖瑞丰金融服务有限公司7000万元增资事宜，</w:t>
      </w:r>
      <w:r>
        <w:rPr>
          <w:rFonts w:hint="eastAsia" w:asciiTheme="minorEastAsia" w:hAnsiTheme="minorEastAsia" w:eastAsiaTheme="minorEastAsia" w:cstheme="minorEastAsia"/>
          <w:sz w:val="28"/>
          <w:szCs w:val="28"/>
          <w:lang w:val="en-US" w:eastAsia="zh-CN"/>
        </w:rPr>
        <w:t>使</w:t>
      </w:r>
      <w:r>
        <w:rPr>
          <w:rFonts w:hint="eastAsia" w:asciiTheme="minorEastAsia" w:hAnsiTheme="minorEastAsia" w:eastAsiaTheme="minorEastAsia" w:cstheme="minorEastAsia"/>
          <w:sz w:val="28"/>
          <w:szCs w:val="28"/>
        </w:rPr>
        <w:t>其注册资本达32000万元，进一步增强其服务实体经济的能力。</w:t>
      </w:r>
    </w:p>
    <w:p>
      <w:pPr>
        <w:keepNext w:val="0"/>
        <w:keepLines w:val="0"/>
        <w:pageBreakBefore w:val="0"/>
        <w:widowControl/>
        <w:kinsoku/>
        <w:wordWrap/>
        <w:overflowPunct/>
        <w:topLinePunct w:val="0"/>
        <w:autoSpaceDE/>
        <w:autoSpaceDN/>
        <w:bidi w:val="0"/>
        <w:adjustRightInd/>
        <w:snapToGrid/>
        <w:spacing w:line="490" w:lineRule="exact"/>
        <w:ind w:firstLine="555"/>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Cs/>
          <w:color w:val="000000"/>
          <w:sz w:val="28"/>
          <w:szCs w:val="28"/>
          <w:lang w:val="en-US" w:eastAsia="zh-CN"/>
        </w:rPr>
        <w:t>6</w:t>
      </w:r>
      <w:r>
        <w:rPr>
          <w:rFonts w:hint="eastAsia" w:asciiTheme="minorEastAsia" w:hAnsiTheme="minorEastAsia" w:eastAsiaTheme="minorEastAsia" w:cstheme="minorEastAsia"/>
          <w:bCs/>
          <w:color w:val="000000"/>
          <w:sz w:val="28"/>
          <w:szCs w:val="28"/>
          <w:lang w:eastAsia="zh-CN"/>
        </w:rPr>
        <w:t>.</w:t>
      </w:r>
      <w:r>
        <w:rPr>
          <w:rFonts w:hint="eastAsia" w:asciiTheme="minorEastAsia" w:hAnsiTheme="minorEastAsia" w:eastAsiaTheme="minorEastAsia" w:cstheme="minorEastAsia"/>
          <w:bCs/>
          <w:color w:val="000000"/>
          <w:sz w:val="28"/>
          <w:szCs w:val="28"/>
        </w:rPr>
        <w:t>设立上海普陀分公司和保定分公司</w:t>
      </w:r>
    </w:p>
    <w:p>
      <w:pPr>
        <w:keepNext w:val="0"/>
        <w:keepLines w:val="0"/>
        <w:pageBreakBefore w:val="0"/>
        <w:widowControl/>
        <w:kinsoku/>
        <w:wordWrap/>
        <w:overflowPunct/>
        <w:topLinePunct w:val="0"/>
        <w:autoSpaceDE/>
        <w:autoSpaceDN/>
        <w:bidi w:val="0"/>
        <w:adjustRightInd/>
        <w:snapToGrid/>
        <w:spacing w:line="490" w:lineRule="exact"/>
        <w:ind w:firstLine="555"/>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为进一步利用上海区位优势和河北承接首都功能转移红利，2020年6月公司设立上海普陀分公司和保定分公司。至此，公司分支机构增长至28家，服务网络覆盖面进一步提升。</w:t>
      </w:r>
    </w:p>
    <w:p>
      <w:pPr>
        <w:keepNext w:val="0"/>
        <w:keepLines w:val="0"/>
        <w:pageBreakBefore w:val="0"/>
        <w:widowControl/>
        <w:kinsoku/>
        <w:wordWrap/>
        <w:overflowPunct/>
        <w:topLinePunct w:val="0"/>
        <w:autoSpaceDE/>
        <w:autoSpaceDN/>
        <w:bidi w:val="0"/>
        <w:adjustRightInd/>
        <w:snapToGrid/>
        <w:spacing w:line="490" w:lineRule="exact"/>
        <w:ind w:firstLine="555"/>
        <w:textAlignment w:val="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7</w:t>
      </w:r>
      <w:r>
        <w:rPr>
          <w:rFonts w:hint="eastAsia" w:asciiTheme="minorEastAsia" w:hAnsiTheme="minorEastAsia" w:eastAsiaTheme="minorEastAsia" w:cstheme="minorEastAsia"/>
          <w:bCs/>
          <w:color w:val="000000"/>
          <w:sz w:val="28"/>
          <w:szCs w:val="28"/>
          <w:lang w:eastAsia="zh-CN"/>
        </w:rPr>
        <w:t>.</w:t>
      </w:r>
      <w:r>
        <w:rPr>
          <w:rFonts w:hint="eastAsia" w:asciiTheme="minorEastAsia" w:hAnsiTheme="minorEastAsia" w:eastAsiaTheme="minorEastAsia" w:cstheme="minorEastAsia"/>
          <w:bCs/>
          <w:color w:val="000000"/>
          <w:sz w:val="28"/>
          <w:szCs w:val="28"/>
        </w:rPr>
        <w:t>新湖国际期货收购日本冈地香港公司客户资产</w:t>
      </w:r>
    </w:p>
    <w:p>
      <w:pPr>
        <w:keepNext w:val="0"/>
        <w:keepLines w:val="0"/>
        <w:pageBreakBefore w:val="0"/>
        <w:kinsoku/>
        <w:wordWrap/>
        <w:overflowPunct/>
        <w:topLinePunct w:val="0"/>
        <w:autoSpaceDE/>
        <w:autoSpaceDN/>
        <w:bidi w:val="0"/>
        <w:adjustRightInd/>
        <w:snapToGrid/>
        <w:spacing w:line="49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为全面加强境外国际业务通道建设，公司于2020年11月收购日资企业“OKACHI”（日本冈地香港公司）业务并引进优秀管理人才，为拥抱“中国价格”时代打下良好基础。</w:t>
      </w:r>
    </w:p>
    <w:p>
      <w:pPr>
        <w:keepNext w:val="0"/>
        <w:keepLines w:val="0"/>
        <w:pageBreakBefore w:val="0"/>
        <w:widowControl/>
        <w:kinsoku/>
        <w:wordWrap/>
        <w:overflowPunct/>
        <w:topLinePunct w:val="0"/>
        <w:autoSpaceDE/>
        <w:autoSpaceDN/>
        <w:bidi w:val="0"/>
        <w:adjustRightInd/>
        <w:snapToGrid/>
        <w:spacing w:line="490" w:lineRule="exact"/>
        <w:ind w:firstLine="555"/>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申城论剑实盘大赛品牌效应初显</w:t>
      </w:r>
    </w:p>
    <w:p>
      <w:pPr>
        <w:keepNext w:val="0"/>
        <w:keepLines w:val="0"/>
        <w:pageBreakBefore w:val="0"/>
        <w:kinsoku/>
        <w:wordWrap/>
        <w:overflowPunct/>
        <w:topLinePunct w:val="0"/>
        <w:autoSpaceDE/>
        <w:autoSpaceDN/>
        <w:bidi w:val="0"/>
        <w:adjustRightInd/>
        <w:snapToGrid/>
        <w:spacing w:line="49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公司实盘大赛品牌价值初步彰显，已逐步成长为同类赛事前三品牌。大赛参赛人数达2781人，较去年同期增长400%；权益规模达13.6亿元，较去年同期增长400%。</w:t>
      </w:r>
    </w:p>
    <w:p>
      <w:pPr>
        <w:keepNext w:val="0"/>
        <w:keepLines w:val="0"/>
        <w:pageBreakBefore w:val="0"/>
        <w:widowControl/>
        <w:kinsoku/>
        <w:wordWrap/>
        <w:overflowPunct/>
        <w:topLinePunct w:val="0"/>
        <w:autoSpaceDE/>
        <w:autoSpaceDN/>
        <w:bidi w:val="0"/>
        <w:adjustRightInd/>
        <w:snapToGrid/>
        <w:spacing w:line="490" w:lineRule="exact"/>
        <w:ind w:firstLine="555"/>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9</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“两个一切”经营发展理念</w:t>
      </w:r>
      <w:r>
        <w:rPr>
          <w:rFonts w:hint="eastAsia" w:asciiTheme="minorEastAsia" w:hAnsiTheme="minorEastAsia" w:eastAsiaTheme="minorEastAsia" w:cstheme="minorEastAsia"/>
          <w:color w:val="000000"/>
          <w:sz w:val="28"/>
          <w:szCs w:val="28"/>
          <w:lang w:val="en-US" w:eastAsia="zh-CN"/>
        </w:rPr>
        <w:t>提出</w:t>
      </w:r>
    </w:p>
    <w:p>
      <w:pPr>
        <w:keepNext w:val="0"/>
        <w:keepLines w:val="0"/>
        <w:pageBreakBefore w:val="0"/>
        <w:kinsoku/>
        <w:wordWrap/>
        <w:overflowPunct/>
        <w:topLinePunct w:val="0"/>
        <w:autoSpaceDE/>
        <w:autoSpaceDN/>
        <w:bidi w:val="0"/>
        <w:adjustRightInd/>
        <w:snapToGrid/>
        <w:spacing w:line="490" w:lineRule="exact"/>
        <w:ind w:firstLine="405"/>
        <w:jc w:val="left"/>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2020年4月公司提出“一切为了提升客户的盈利能力，一切为了优秀员工的持续成长”企业核心发展理念，号召全体员工以服务提升客户盈利为终极使命，围绕该目标搭建员工发展平台，促使优秀人才脱颖而出，快速成长，进而带动公司业务全方位地提升</w:t>
      </w:r>
      <w:r>
        <w:rPr>
          <w:rFonts w:hint="eastAsia" w:asciiTheme="minorEastAsia" w:hAnsiTheme="minorEastAsia" w:eastAsiaTheme="minorEastAsia" w:cstheme="minorEastAsia"/>
          <w:bCs/>
          <w:sz w:val="28"/>
          <w:szCs w:val="28"/>
          <w:lang w:eastAsia="zh-CN"/>
        </w:rPr>
        <w:t>。</w:t>
      </w:r>
    </w:p>
    <w:p>
      <w:pPr>
        <w:keepNext w:val="0"/>
        <w:keepLines w:val="0"/>
        <w:pageBreakBefore w:val="0"/>
        <w:kinsoku/>
        <w:wordWrap/>
        <w:overflowPunct/>
        <w:topLinePunct w:val="0"/>
        <w:autoSpaceDE/>
        <w:autoSpaceDN/>
        <w:bidi w:val="0"/>
        <w:adjustRightInd/>
        <w:snapToGrid/>
        <w:spacing w:line="490" w:lineRule="exact"/>
        <w:ind w:firstLine="405"/>
        <w:jc w:val="left"/>
        <w:textAlignment w:val="auto"/>
        <w:rPr>
          <w:rFonts w:hint="eastAsia" w:asciiTheme="minorEastAsia" w:hAnsiTheme="minorEastAsia" w:eastAsiaTheme="minorEastAsia" w:cstheme="minorEastAsia"/>
          <w:bCs/>
          <w:sz w:val="28"/>
          <w:szCs w:val="28"/>
          <w:lang w:eastAsia="zh-CN"/>
        </w:rPr>
      </w:pPr>
    </w:p>
    <w:p>
      <w:pPr>
        <w:keepNext w:val="0"/>
        <w:keepLines w:val="0"/>
        <w:pageBreakBefore w:val="0"/>
        <w:kinsoku/>
        <w:wordWrap/>
        <w:overflowPunct/>
        <w:topLinePunct w:val="0"/>
        <w:autoSpaceDE/>
        <w:autoSpaceDN/>
        <w:bidi w:val="0"/>
        <w:adjustRightInd/>
        <w:snapToGrid/>
        <w:spacing w:line="490" w:lineRule="exact"/>
        <w:ind w:firstLine="405"/>
        <w:jc w:val="left"/>
        <w:textAlignment w:val="auto"/>
        <w:rPr>
          <w:rFonts w:hint="eastAsia" w:asciiTheme="minorEastAsia" w:hAnsiTheme="minorEastAsia" w:eastAsiaTheme="minorEastAsia" w:cstheme="minorEastAsia"/>
          <w:bCs/>
          <w:sz w:val="28"/>
          <w:szCs w:val="28"/>
          <w:lang w:eastAsia="zh-CN"/>
        </w:rPr>
      </w:pPr>
    </w:p>
    <w:p>
      <w:pPr>
        <w:keepNext w:val="0"/>
        <w:keepLines w:val="0"/>
        <w:pageBreakBefore w:val="0"/>
        <w:kinsoku/>
        <w:wordWrap/>
        <w:overflowPunct/>
        <w:topLinePunct w:val="0"/>
        <w:autoSpaceDE/>
        <w:autoSpaceDN/>
        <w:bidi w:val="0"/>
        <w:adjustRightInd/>
        <w:snapToGrid/>
        <w:spacing w:line="490" w:lineRule="exact"/>
        <w:ind w:firstLine="405"/>
        <w:jc w:val="left"/>
        <w:textAlignment w:val="auto"/>
        <w:rPr>
          <w:rFonts w:hint="eastAsia" w:asciiTheme="minorEastAsia" w:hAnsiTheme="minorEastAsia" w:eastAsiaTheme="minorEastAsia" w:cstheme="minorEastAsia"/>
          <w:bCs/>
          <w:sz w:val="28"/>
          <w:szCs w:val="28"/>
          <w:lang w:eastAsia="zh-CN"/>
        </w:rPr>
      </w:pPr>
    </w:p>
    <w:p>
      <w:pPr>
        <w:keepNext w:val="0"/>
        <w:keepLines w:val="0"/>
        <w:pageBreakBefore w:val="0"/>
        <w:kinsoku/>
        <w:wordWrap/>
        <w:overflowPunct/>
        <w:topLinePunct w:val="0"/>
        <w:autoSpaceDE/>
        <w:autoSpaceDN/>
        <w:bidi w:val="0"/>
        <w:adjustRightInd/>
        <w:snapToGrid/>
        <w:spacing w:line="490" w:lineRule="exact"/>
        <w:ind w:firstLine="405"/>
        <w:jc w:val="left"/>
        <w:textAlignment w:val="auto"/>
        <w:rPr>
          <w:rFonts w:hint="eastAsia" w:asciiTheme="minorEastAsia" w:hAnsiTheme="minorEastAsia" w:eastAsiaTheme="minorEastAsia" w:cstheme="minorEastAsia"/>
          <w:bCs/>
          <w:sz w:val="28"/>
          <w:szCs w:val="28"/>
          <w:lang w:eastAsia="zh-CN"/>
        </w:rPr>
      </w:pPr>
    </w:p>
    <w:p>
      <w:pPr>
        <w:keepNext w:val="0"/>
        <w:keepLines w:val="0"/>
        <w:pageBreakBefore w:val="0"/>
        <w:kinsoku/>
        <w:wordWrap/>
        <w:overflowPunct/>
        <w:topLinePunct w:val="0"/>
        <w:autoSpaceDE/>
        <w:autoSpaceDN/>
        <w:bidi w:val="0"/>
        <w:adjustRightInd/>
        <w:snapToGrid/>
        <w:spacing w:line="490" w:lineRule="exact"/>
        <w:ind w:firstLine="405"/>
        <w:jc w:val="left"/>
        <w:textAlignment w:val="auto"/>
        <w:rPr>
          <w:rFonts w:hint="eastAsia" w:asciiTheme="minorEastAsia" w:hAnsiTheme="minorEastAsia" w:eastAsiaTheme="minorEastAsia" w:cstheme="minorEastAsia"/>
          <w:bCs/>
          <w:sz w:val="28"/>
          <w:szCs w:val="28"/>
          <w:lang w:eastAsia="zh-CN"/>
        </w:rPr>
      </w:pPr>
    </w:p>
    <w:p>
      <w:pPr>
        <w:keepNext w:val="0"/>
        <w:keepLines w:val="0"/>
        <w:pageBreakBefore w:val="0"/>
        <w:kinsoku/>
        <w:wordWrap/>
        <w:overflowPunct/>
        <w:topLinePunct w:val="0"/>
        <w:autoSpaceDE/>
        <w:autoSpaceDN/>
        <w:bidi w:val="0"/>
        <w:adjustRightInd/>
        <w:snapToGrid/>
        <w:spacing w:line="490" w:lineRule="exact"/>
        <w:ind w:firstLine="405"/>
        <w:jc w:val="left"/>
        <w:textAlignment w:val="auto"/>
        <w:rPr>
          <w:rFonts w:hint="eastAsia" w:asciiTheme="minorEastAsia" w:hAnsiTheme="minorEastAsia" w:eastAsiaTheme="minorEastAsia" w:cstheme="minorEastAsia"/>
          <w:bCs/>
          <w:sz w:val="28"/>
          <w:szCs w:val="28"/>
          <w:lang w:eastAsia="zh-CN"/>
        </w:rPr>
      </w:pPr>
    </w:p>
    <w:p>
      <w:pPr>
        <w:keepNext w:val="0"/>
        <w:keepLines w:val="0"/>
        <w:pageBreakBefore w:val="0"/>
        <w:kinsoku/>
        <w:wordWrap/>
        <w:overflowPunct/>
        <w:topLinePunct w:val="0"/>
        <w:autoSpaceDE/>
        <w:autoSpaceDN/>
        <w:bidi w:val="0"/>
        <w:adjustRightInd/>
        <w:snapToGrid/>
        <w:spacing w:line="490" w:lineRule="exact"/>
        <w:ind w:firstLine="405"/>
        <w:jc w:val="left"/>
        <w:textAlignment w:val="auto"/>
        <w:rPr>
          <w:rFonts w:hint="eastAsia" w:asciiTheme="minorEastAsia" w:hAnsiTheme="minorEastAsia" w:eastAsiaTheme="minorEastAsia" w:cstheme="minorEastAsia"/>
          <w:bCs/>
          <w:sz w:val="28"/>
          <w:szCs w:val="28"/>
          <w:lang w:eastAsia="zh-CN"/>
        </w:rPr>
      </w:pPr>
    </w:p>
    <w:p>
      <w:pPr>
        <w:keepNext w:val="0"/>
        <w:keepLines w:val="0"/>
        <w:pageBreakBefore w:val="0"/>
        <w:kinsoku/>
        <w:wordWrap/>
        <w:overflowPunct/>
        <w:topLinePunct w:val="0"/>
        <w:autoSpaceDE/>
        <w:autoSpaceDN/>
        <w:bidi w:val="0"/>
        <w:adjustRightInd/>
        <w:snapToGrid/>
        <w:spacing w:line="490" w:lineRule="exact"/>
        <w:jc w:val="left"/>
        <w:textAlignment w:val="auto"/>
        <w:rPr>
          <w:rFonts w:hint="eastAsia" w:asciiTheme="minorEastAsia" w:hAnsiTheme="minorEastAsia" w:eastAsiaTheme="minorEastAsia" w:cstheme="minorEastAsia"/>
          <w:bCs/>
          <w:sz w:val="28"/>
          <w:szCs w:val="28"/>
          <w:lang w:eastAsia="zh-CN"/>
        </w:rPr>
      </w:pPr>
    </w:p>
    <w:p>
      <w:pPr>
        <w:keepNext w:val="0"/>
        <w:keepLines w:val="0"/>
        <w:pageBreakBefore w:val="0"/>
        <w:kinsoku/>
        <w:wordWrap/>
        <w:overflowPunct/>
        <w:topLinePunct w:val="0"/>
        <w:autoSpaceDE/>
        <w:autoSpaceDN/>
        <w:bidi w:val="0"/>
        <w:adjustRightInd/>
        <w:snapToGrid/>
        <w:spacing w:line="490" w:lineRule="exact"/>
        <w:jc w:val="left"/>
        <w:textAlignment w:val="auto"/>
        <w:rPr>
          <w:rFonts w:hint="eastAsia" w:asciiTheme="minorEastAsia" w:hAnsiTheme="minorEastAsia" w:eastAsiaTheme="minorEastAsia" w:cstheme="minorEastAsia"/>
          <w:bCs/>
          <w:sz w:val="28"/>
          <w:szCs w:val="28"/>
          <w:lang w:eastAsia="zh-CN"/>
        </w:rPr>
      </w:pPr>
    </w:p>
    <w:p>
      <w:pPr>
        <w:ind w:firstLine="405"/>
        <w:jc w:val="center"/>
        <w:rPr>
          <w:rFonts w:ascii="宋体" w:hAnsi="宋体"/>
          <w:b/>
          <w:sz w:val="28"/>
          <w:szCs w:val="28"/>
        </w:rPr>
      </w:pPr>
      <w:r>
        <w:rPr>
          <w:rFonts w:hint="eastAsia" w:ascii="宋体" w:hAnsi="宋体"/>
          <w:b/>
          <w:sz w:val="28"/>
          <w:szCs w:val="28"/>
        </w:rPr>
        <w:t>附录二：2019年度公司以及员工荣誉</w:t>
      </w:r>
    </w:p>
    <w:p>
      <w:pPr>
        <w:spacing w:line="520" w:lineRule="exact"/>
        <w:jc w:val="center"/>
        <w:rPr>
          <w:rFonts w:hint="eastAsia" w:ascii="黑体" w:hAnsi="黑体" w:eastAsia="黑体"/>
          <w:color w:val="000000"/>
          <w:sz w:val="36"/>
          <w:szCs w:val="36"/>
        </w:rPr>
      </w:pPr>
      <w:r>
        <w:rPr>
          <w:rFonts w:hint="eastAsia" w:ascii="黑体" w:hAnsi="黑体" w:eastAsia="黑体"/>
          <w:color w:val="000000"/>
          <w:sz w:val="36"/>
          <w:szCs w:val="36"/>
        </w:rPr>
        <w:t>2020年度公司获得奖项</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8"/>
        <w:gridCol w:w="3960"/>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8" w:type="dxa"/>
          </w:tcPr>
          <w:p>
            <w:pPr>
              <w:spacing w:line="520" w:lineRule="exact"/>
              <w:jc w:val="center"/>
              <w:rPr>
                <w:rFonts w:hint="eastAsia" w:ascii="黑体" w:hAnsi="黑体" w:eastAsia="黑体"/>
                <w:color w:val="000000"/>
                <w:sz w:val="28"/>
                <w:szCs w:val="28"/>
              </w:rPr>
            </w:pPr>
            <w:r>
              <w:rPr>
                <w:rFonts w:hint="eastAsia" w:ascii="黑体" w:hAnsi="黑体" w:eastAsia="黑体"/>
                <w:color w:val="000000"/>
                <w:sz w:val="28"/>
                <w:szCs w:val="28"/>
              </w:rPr>
              <w:t>授奖单位</w:t>
            </w:r>
          </w:p>
        </w:tc>
        <w:tc>
          <w:tcPr>
            <w:tcW w:w="3960" w:type="dxa"/>
          </w:tcPr>
          <w:p>
            <w:pPr>
              <w:spacing w:line="520" w:lineRule="exact"/>
              <w:jc w:val="center"/>
              <w:rPr>
                <w:rFonts w:hint="eastAsia" w:ascii="黑体" w:hAnsi="黑体" w:eastAsia="黑体"/>
                <w:color w:val="000000"/>
                <w:sz w:val="28"/>
                <w:szCs w:val="28"/>
              </w:rPr>
            </w:pPr>
            <w:r>
              <w:rPr>
                <w:rFonts w:hint="eastAsia" w:ascii="黑体" w:hAnsi="黑体" w:eastAsia="黑体"/>
                <w:color w:val="000000"/>
                <w:sz w:val="28"/>
                <w:szCs w:val="28"/>
              </w:rPr>
              <w:t>奖项名称</w:t>
            </w:r>
          </w:p>
        </w:tc>
        <w:tc>
          <w:tcPr>
            <w:tcW w:w="1964" w:type="dxa"/>
          </w:tcPr>
          <w:p>
            <w:pPr>
              <w:spacing w:line="520" w:lineRule="exact"/>
              <w:jc w:val="center"/>
              <w:rPr>
                <w:rFonts w:hint="eastAsia" w:ascii="黑体" w:hAnsi="黑体" w:eastAsia="黑体"/>
                <w:color w:val="000000"/>
                <w:sz w:val="28"/>
                <w:szCs w:val="28"/>
              </w:rPr>
            </w:pPr>
            <w:r>
              <w:rPr>
                <w:rFonts w:hint="eastAsia" w:ascii="黑体" w:hAnsi="黑体" w:eastAsia="黑体"/>
                <w:color w:val="000000"/>
                <w:sz w:val="28"/>
                <w:szCs w:val="28"/>
              </w:rPr>
              <w:t>获奖单位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598" w:type="dxa"/>
            <w:vMerge w:val="restart"/>
            <w:textDirection w:val="tbRlV"/>
            <w:vAlign w:val="center"/>
          </w:tcPr>
          <w:p>
            <w:pPr>
              <w:jc w:val="center"/>
              <w:rPr>
                <w:rFonts w:hint="eastAsia" w:ascii="黑体" w:hAnsi="黑体" w:eastAsia="黑体"/>
                <w:b/>
                <w:color w:val="000000"/>
                <w:sz w:val="32"/>
                <w:szCs w:val="32"/>
              </w:rPr>
            </w:pPr>
            <w:r>
              <w:rPr>
                <w:rFonts w:hint="eastAsia" w:ascii="楷体" w:hAnsi="楷体" w:eastAsia="楷体"/>
                <w:color w:val="000000"/>
                <w:sz w:val="22"/>
              </w:rPr>
              <w:t>郑州商品交易所</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优秀会员</w:t>
            </w:r>
          </w:p>
        </w:tc>
        <w:tc>
          <w:tcPr>
            <w:tcW w:w="1964" w:type="dxa"/>
            <w:vMerge w:val="restart"/>
            <w:vAlign w:val="center"/>
          </w:tcPr>
          <w:p>
            <w:pPr>
              <w:spacing w:line="520" w:lineRule="exact"/>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红枣品种服务优秀会员</w:t>
            </w:r>
          </w:p>
        </w:tc>
        <w:tc>
          <w:tcPr>
            <w:tcW w:w="1964" w:type="dxa"/>
            <w:vMerge w:val="continue"/>
          </w:tcPr>
          <w:p>
            <w:pPr>
              <w:jc w:val="center"/>
              <w:rPr>
                <w:rFonts w:hint="eastAsia"/>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动力煤品种服务优秀会员</w:t>
            </w:r>
          </w:p>
        </w:tc>
        <w:tc>
          <w:tcPr>
            <w:tcW w:w="1964" w:type="dxa"/>
            <w:vMerge w:val="continue"/>
          </w:tcPr>
          <w:p>
            <w:pPr>
              <w:jc w:val="center"/>
              <w:rPr>
                <w:rFonts w:hint="eastAsia"/>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红枣品种服务优秀营业部</w:t>
            </w:r>
          </w:p>
        </w:tc>
        <w:tc>
          <w:tcPr>
            <w:tcW w:w="1964" w:type="dxa"/>
          </w:tcPr>
          <w:p>
            <w:pPr>
              <w:jc w:val="center"/>
              <w:rPr>
                <w:rFonts w:hint="eastAsia" w:ascii="楷体" w:hAnsi="楷体" w:eastAsia="楷体"/>
                <w:color w:val="000000"/>
                <w:sz w:val="22"/>
              </w:rPr>
            </w:pPr>
            <w:r>
              <w:rPr>
                <w:rFonts w:hint="eastAsia" w:ascii="楷体" w:hAnsi="楷体" w:eastAsia="楷体"/>
                <w:color w:val="000000"/>
                <w:sz w:val="22"/>
              </w:rPr>
              <w:t>郑州营业部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动力煤品种服务优秀营业部</w:t>
            </w:r>
          </w:p>
        </w:tc>
        <w:tc>
          <w:tcPr>
            <w:tcW w:w="1964" w:type="dxa"/>
          </w:tcPr>
          <w:p>
            <w:pPr>
              <w:jc w:val="center"/>
              <w:rPr>
                <w:rFonts w:hint="eastAsia" w:ascii="楷体" w:hAnsi="楷体" w:eastAsia="楷体"/>
                <w:color w:val="000000"/>
                <w:sz w:val="22"/>
              </w:rPr>
            </w:pPr>
            <w:r>
              <w:rPr>
                <w:rFonts w:hint="eastAsia" w:ascii="楷体" w:hAnsi="楷体" w:eastAsia="楷体"/>
                <w:color w:val="000000"/>
                <w:sz w:val="22"/>
              </w:rPr>
              <w:t>太原营业部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优秀风险管理公司</w:t>
            </w:r>
          </w:p>
        </w:tc>
        <w:tc>
          <w:tcPr>
            <w:tcW w:w="1964" w:type="dxa"/>
          </w:tcPr>
          <w:p>
            <w:pPr>
              <w:jc w:val="center"/>
              <w:rPr>
                <w:rFonts w:hint="eastAsia" w:ascii="楷体" w:hAnsi="楷体" w:eastAsia="楷体"/>
                <w:color w:val="000000"/>
                <w:sz w:val="22"/>
              </w:rPr>
            </w:pPr>
            <w:r>
              <w:rPr>
                <w:rFonts w:hint="eastAsia" w:ascii="楷体" w:hAnsi="楷体" w:eastAsia="楷体"/>
                <w:color w:val="000000"/>
                <w:sz w:val="22"/>
              </w:rPr>
              <w:t>新湖瑞丰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vAlign w:val="center"/>
          </w:tcPr>
          <w:p>
            <w:pPr>
              <w:jc w:val="center"/>
              <w:rPr>
                <w:rFonts w:hint="default" w:ascii="楷体" w:hAnsi="楷体" w:eastAsia="楷体"/>
                <w:color w:val="000000"/>
                <w:sz w:val="22"/>
                <w:lang w:val="en-US" w:eastAsia="zh-CN"/>
              </w:rPr>
            </w:pPr>
            <w:r>
              <w:rPr>
                <w:rFonts w:hint="eastAsia" w:ascii="楷体" w:hAnsi="楷体" w:eastAsia="楷体"/>
                <w:color w:val="000000"/>
                <w:sz w:val="22"/>
                <w:lang w:val="en-US" w:eastAsia="zh-CN"/>
              </w:rPr>
              <w:t>花生期货成交首单</w:t>
            </w:r>
          </w:p>
        </w:tc>
        <w:tc>
          <w:tcPr>
            <w:tcW w:w="1964" w:type="dxa"/>
            <w:vAlign w:val="center"/>
          </w:tcPr>
          <w:p>
            <w:pPr>
              <w:jc w:val="center"/>
              <w:rPr>
                <w:rFonts w:hint="eastAsia" w:ascii="楷体" w:hAnsi="楷体" w:eastAsia="楷体"/>
                <w:color w:val="000000"/>
                <w:sz w:val="22"/>
                <w:lang w:val="en-US" w:eastAsia="zh-CN"/>
              </w:rPr>
            </w:pPr>
            <w:r>
              <w:rPr>
                <w:rFonts w:hint="eastAsia" w:ascii="楷体" w:hAnsi="楷体" w:eastAsia="楷体"/>
                <w:color w:val="000000"/>
                <w:sz w:val="22"/>
                <w:lang w:val="en-US" w:eastAsia="zh-CN"/>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纯碱优秀分析师</w:t>
            </w:r>
          </w:p>
        </w:tc>
        <w:tc>
          <w:tcPr>
            <w:tcW w:w="1964" w:type="dxa"/>
            <w:vMerge w:val="restart"/>
            <w:vAlign w:val="center"/>
          </w:tcPr>
          <w:p>
            <w:pPr>
              <w:jc w:val="center"/>
              <w:rPr>
                <w:rFonts w:hint="eastAsia" w:ascii="楷体" w:hAnsi="楷体" w:eastAsia="楷体"/>
                <w:color w:val="000000"/>
                <w:sz w:val="22"/>
              </w:rPr>
            </w:pPr>
            <w:r>
              <w:rPr>
                <w:rFonts w:hint="eastAsia" w:ascii="楷体" w:hAnsi="楷体" w:eastAsia="楷体"/>
                <w:color w:val="000000"/>
                <w:sz w:val="22"/>
              </w:rPr>
              <w:t>薛广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2020年度高级分析师-纯碱</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restart"/>
            <w:textDirection w:val="tbRlV"/>
            <w:vAlign w:val="center"/>
          </w:tcPr>
          <w:p>
            <w:pPr>
              <w:jc w:val="center"/>
              <w:rPr>
                <w:rFonts w:hint="eastAsia" w:ascii="黑体" w:hAnsi="黑体" w:eastAsia="黑体"/>
                <w:b/>
                <w:color w:val="000000"/>
                <w:sz w:val="32"/>
                <w:szCs w:val="32"/>
              </w:rPr>
            </w:pPr>
            <w:r>
              <w:rPr>
                <w:rFonts w:hint="eastAsia" w:ascii="楷体" w:hAnsi="楷体" w:eastAsia="楷体"/>
                <w:color w:val="000000"/>
                <w:sz w:val="22"/>
              </w:rPr>
              <w:t>大连商品交易所</w:t>
            </w: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优秀会员金奖</w:t>
            </w:r>
          </w:p>
        </w:tc>
        <w:tc>
          <w:tcPr>
            <w:tcW w:w="1964" w:type="dxa"/>
            <w:vMerge w:val="restart"/>
            <w:vAlign w:val="center"/>
          </w:tcPr>
          <w:p>
            <w:pPr>
              <w:spacing w:line="520" w:lineRule="exact"/>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优秀农产品产业服务奖</w:t>
            </w:r>
          </w:p>
        </w:tc>
        <w:tc>
          <w:tcPr>
            <w:tcW w:w="1964" w:type="dxa"/>
            <w:vMerge w:val="continue"/>
          </w:tcPr>
          <w:p>
            <w:pPr>
              <w:jc w:val="center"/>
              <w:rPr>
                <w:rFonts w:hint="eastAsia"/>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优秀黑色产品产业服务奖</w:t>
            </w:r>
          </w:p>
        </w:tc>
        <w:tc>
          <w:tcPr>
            <w:tcW w:w="1964" w:type="dxa"/>
            <w:vMerge w:val="continue"/>
          </w:tcPr>
          <w:p>
            <w:pPr>
              <w:jc w:val="center"/>
              <w:rPr>
                <w:rFonts w:hint="eastAsia"/>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优秀机构服务奖</w:t>
            </w:r>
          </w:p>
        </w:tc>
        <w:tc>
          <w:tcPr>
            <w:tcW w:w="1964" w:type="dxa"/>
            <w:vMerge w:val="continue"/>
          </w:tcPr>
          <w:p>
            <w:pPr>
              <w:jc w:val="center"/>
              <w:rPr>
                <w:rFonts w:hint="eastAsia" w:ascii="楷体" w:hAnsi="楷体" w:eastAsia="楷体"/>
                <w:color w:val="000000"/>
                <w:sz w:val="22"/>
              </w:rPr>
            </w:pPr>
          </w:p>
        </w:tc>
      </w:tr>
      <w:tr>
        <w:tblPrEx>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优秀国际市场服务奖</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598" w:type="dxa"/>
            <w:vMerge w:val="continue"/>
          </w:tcPr>
          <w:p>
            <w:pPr>
              <w:spacing w:line="520" w:lineRule="exact"/>
              <w:jc w:val="center"/>
              <w:rPr>
                <w:rFonts w:hint="eastAsia" w:ascii="黑体" w:hAnsi="黑体" w:eastAsia="黑体"/>
                <w:b/>
                <w:color w:val="000000"/>
                <w:sz w:val="24"/>
                <w:szCs w:val="24"/>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优秀场外市场支持奖</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8" w:type="dxa"/>
            <w:vMerge w:val="restart"/>
            <w:textDirection w:val="tbRlV"/>
            <w:vAlign w:val="center"/>
          </w:tcPr>
          <w:p>
            <w:pPr>
              <w:jc w:val="center"/>
              <w:rPr>
                <w:rFonts w:hint="eastAsia" w:ascii="黑体" w:hAnsi="黑体" w:eastAsia="黑体" w:cs="Times New Roman"/>
                <w:b/>
                <w:color w:val="000000"/>
                <w:kern w:val="2"/>
                <w:sz w:val="32"/>
                <w:szCs w:val="32"/>
                <w:lang w:val="en-US" w:eastAsia="zh-CN" w:bidi="ar-SA"/>
              </w:rPr>
            </w:pPr>
            <w:r>
              <w:rPr>
                <w:rFonts w:hint="eastAsia" w:ascii="楷体" w:hAnsi="楷体" w:eastAsia="楷体"/>
                <w:color w:val="000000"/>
                <w:sz w:val="22"/>
                <w:lang w:val="en-US" w:eastAsia="zh-CN"/>
              </w:rPr>
              <w:t>上海期货</w:t>
            </w:r>
            <w:r>
              <w:rPr>
                <w:rFonts w:hint="eastAsia" w:ascii="楷体" w:hAnsi="楷体" w:eastAsia="楷体"/>
                <w:color w:val="000000"/>
                <w:sz w:val="22"/>
              </w:rPr>
              <w:t>交易所</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优秀会员</w:t>
            </w:r>
            <w:r>
              <w:rPr>
                <w:rFonts w:hint="eastAsia" w:ascii="楷体" w:hAnsi="楷体" w:eastAsia="楷体"/>
                <w:color w:val="000000"/>
                <w:sz w:val="22"/>
                <w:lang w:val="en-US" w:eastAsia="zh-CN"/>
              </w:rPr>
              <w:t>金</w:t>
            </w:r>
            <w:r>
              <w:rPr>
                <w:rFonts w:hint="eastAsia" w:ascii="楷体" w:hAnsi="楷体" w:eastAsia="楷体"/>
                <w:color w:val="000000"/>
                <w:sz w:val="22"/>
              </w:rPr>
              <w:t>奖</w:t>
            </w:r>
          </w:p>
        </w:tc>
        <w:tc>
          <w:tcPr>
            <w:tcW w:w="1964" w:type="dxa"/>
            <w:vMerge w:val="restart"/>
            <w:vAlign w:val="center"/>
          </w:tcPr>
          <w:p>
            <w:pPr>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8" w:type="dxa"/>
            <w:vMerge w:val="continue"/>
            <w:vAlign w:val="center"/>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lang w:val="en-US" w:eastAsia="zh-CN"/>
              </w:rPr>
              <w:t>市场进步奖</w:t>
            </w:r>
          </w:p>
        </w:tc>
        <w:tc>
          <w:tcPr>
            <w:tcW w:w="1964" w:type="dxa"/>
            <w:vMerge w:val="continue"/>
            <w:vAlign w:val="center"/>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8" w:type="dxa"/>
            <w:vMerge w:val="continue"/>
            <w:vAlign w:val="center"/>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lang w:val="en-US" w:eastAsia="zh-CN"/>
              </w:rPr>
              <w:t>贵金属产业服务奖</w:t>
            </w:r>
          </w:p>
        </w:tc>
        <w:tc>
          <w:tcPr>
            <w:tcW w:w="1964" w:type="dxa"/>
            <w:vMerge w:val="continue"/>
            <w:vAlign w:val="center"/>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8" w:type="dxa"/>
            <w:vMerge w:val="continue"/>
            <w:vAlign w:val="center"/>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lang w:val="en-US" w:eastAsia="zh-CN"/>
              </w:rPr>
              <w:t>能化产业服务奖</w:t>
            </w:r>
          </w:p>
        </w:tc>
        <w:tc>
          <w:tcPr>
            <w:tcW w:w="1964" w:type="dxa"/>
            <w:vMerge w:val="continue"/>
            <w:vAlign w:val="center"/>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8" w:type="dxa"/>
            <w:vMerge w:val="continue"/>
            <w:vAlign w:val="center"/>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lang w:val="en-US" w:eastAsia="zh-CN"/>
              </w:rPr>
              <w:t>期权市场服务奖</w:t>
            </w:r>
          </w:p>
        </w:tc>
        <w:tc>
          <w:tcPr>
            <w:tcW w:w="1964" w:type="dxa"/>
            <w:vMerge w:val="continue"/>
            <w:vAlign w:val="center"/>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tcPr>
          <w:p>
            <w:pPr>
              <w:jc w:val="center"/>
              <w:rPr>
                <w:rFonts w:hint="eastAsia" w:ascii="楷体" w:hAnsi="楷体" w:eastAsia="楷体"/>
                <w:color w:val="000000"/>
                <w:sz w:val="22"/>
              </w:rPr>
            </w:pPr>
            <w:r>
              <w:rPr>
                <w:rFonts w:hint="eastAsia" w:ascii="楷体" w:hAnsi="楷体" w:eastAsia="楷体"/>
                <w:color w:val="000000"/>
                <w:sz w:val="22"/>
              </w:rPr>
              <w:t>上海国际</w:t>
            </w:r>
          </w:p>
          <w:p>
            <w:pPr>
              <w:jc w:val="center"/>
              <w:rPr>
                <w:rFonts w:hint="eastAsia" w:ascii="黑体" w:hAnsi="黑体" w:eastAsia="黑体"/>
                <w:b/>
                <w:color w:val="000000"/>
                <w:sz w:val="32"/>
                <w:szCs w:val="32"/>
              </w:rPr>
            </w:pPr>
            <w:r>
              <w:rPr>
                <w:rFonts w:hint="eastAsia" w:ascii="楷体" w:hAnsi="楷体" w:eastAsia="楷体"/>
                <w:color w:val="000000"/>
                <w:sz w:val="22"/>
              </w:rPr>
              <w:t>能源中心</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优秀会员奖</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598" w:type="dxa"/>
          </w:tcPr>
          <w:p>
            <w:pPr>
              <w:jc w:val="center"/>
              <w:rPr>
                <w:rFonts w:hint="eastAsia" w:ascii="楷体" w:hAnsi="楷体" w:eastAsia="楷体"/>
                <w:color w:val="000000"/>
                <w:sz w:val="22"/>
              </w:rPr>
            </w:pPr>
            <w:r>
              <w:rPr>
                <w:rFonts w:hint="eastAsia" w:ascii="楷体" w:hAnsi="楷体" w:eastAsia="楷体"/>
                <w:color w:val="000000"/>
                <w:sz w:val="22"/>
              </w:rPr>
              <w:t>中国金融</w:t>
            </w:r>
          </w:p>
          <w:p>
            <w:pPr>
              <w:jc w:val="center"/>
              <w:rPr>
                <w:rFonts w:hint="eastAsia" w:ascii="黑体" w:hAnsi="黑体" w:eastAsia="黑体"/>
                <w:b/>
                <w:color w:val="000000"/>
                <w:sz w:val="32"/>
                <w:szCs w:val="32"/>
              </w:rPr>
            </w:pPr>
            <w:r>
              <w:rPr>
                <w:rFonts w:hint="eastAsia" w:ascii="楷体" w:hAnsi="楷体" w:eastAsia="楷体"/>
                <w:color w:val="000000"/>
                <w:sz w:val="22"/>
              </w:rPr>
              <w:t>期货交易所</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优秀会员金奖</w:t>
            </w:r>
          </w:p>
        </w:tc>
        <w:tc>
          <w:tcPr>
            <w:tcW w:w="1964" w:type="dxa"/>
          </w:tcPr>
          <w:p>
            <w:pPr>
              <w:spacing w:line="520" w:lineRule="exact"/>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8" w:type="dxa"/>
          </w:tcPr>
          <w:p>
            <w:pPr>
              <w:jc w:val="center"/>
              <w:rPr>
                <w:rFonts w:hint="eastAsia" w:ascii="楷体" w:hAnsi="楷体" w:eastAsia="楷体"/>
                <w:color w:val="000000"/>
                <w:sz w:val="22"/>
              </w:rPr>
            </w:pPr>
            <w:r>
              <w:rPr>
                <w:rFonts w:hint="eastAsia" w:ascii="楷体" w:hAnsi="楷体" w:eastAsia="楷体"/>
                <w:color w:val="000000"/>
                <w:sz w:val="22"/>
              </w:rPr>
              <w:t>中国金融政治思想研究会</w:t>
            </w:r>
          </w:p>
          <w:p>
            <w:pPr>
              <w:jc w:val="center"/>
              <w:rPr>
                <w:rFonts w:hint="default" w:ascii="楷体" w:hAnsi="楷体" w:eastAsia="楷体"/>
                <w:color w:val="000000"/>
                <w:sz w:val="22"/>
                <w:lang w:val="en-US" w:eastAsia="zh-CN"/>
              </w:rPr>
            </w:pPr>
            <w:r>
              <w:rPr>
                <w:rFonts w:hint="eastAsia" w:ascii="楷体" w:hAnsi="楷体" w:eastAsia="楷体"/>
                <w:color w:val="000000"/>
                <w:sz w:val="22"/>
                <w:lang w:val="en-US" w:eastAsia="zh-CN"/>
              </w:rPr>
              <w:t>中国金融文化建设协会</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2019-2020年全国金融系统文化建设先进单位</w:t>
            </w:r>
          </w:p>
          <w:p>
            <w:pPr>
              <w:jc w:val="center"/>
              <w:rPr>
                <w:rFonts w:hint="eastAsia" w:ascii="楷体" w:hAnsi="楷体" w:eastAsia="楷体"/>
                <w:color w:val="000000"/>
                <w:sz w:val="22"/>
              </w:rPr>
            </w:pPr>
            <w:r>
              <w:rPr>
                <w:rFonts w:hint="eastAsia" w:ascii="楷体" w:hAnsi="楷体" w:eastAsia="楷体"/>
                <w:color w:val="000000"/>
                <w:sz w:val="22"/>
              </w:rPr>
              <w:t>（省部级）</w:t>
            </w:r>
          </w:p>
        </w:tc>
        <w:tc>
          <w:tcPr>
            <w:tcW w:w="1964" w:type="dxa"/>
            <w:vAlign w:val="center"/>
          </w:tcPr>
          <w:p>
            <w:pPr>
              <w:spacing w:line="520" w:lineRule="exact"/>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8" w:type="dxa"/>
            <w:vAlign w:val="center"/>
          </w:tcPr>
          <w:p>
            <w:pPr>
              <w:jc w:val="center"/>
              <w:rPr>
                <w:rFonts w:hint="eastAsia" w:ascii="楷体" w:hAnsi="楷体" w:eastAsia="楷体"/>
                <w:color w:val="000000"/>
                <w:sz w:val="22"/>
              </w:rPr>
            </w:pPr>
            <w:r>
              <w:rPr>
                <w:rFonts w:hint="eastAsia" w:ascii="楷体" w:hAnsi="楷体" w:eastAsia="楷体"/>
                <w:color w:val="000000"/>
                <w:sz w:val="22"/>
                <w:lang w:val="en-US" w:eastAsia="zh-CN"/>
              </w:rPr>
              <w:t>辽宁证监局</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lang w:val="en-US" w:eastAsia="zh-CN"/>
              </w:rPr>
              <w:t>辖区</w:t>
            </w:r>
            <w:r>
              <w:rPr>
                <w:rFonts w:hint="default" w:ascii="楷体" w:hAnsi="楷体" w:eastAsia="楷体"/>
                <w:color w:val="000000"/>
                <w:sz w:val="22"/>
                <w:lang w:val="en-US" w:eastAsia="zh-CN"/>
              </w:rPr>
              <w:t>期货机构服务民营企业客户保证金总额第一</w:t>
            </w:r>
          </w:p>
        </w:tc>
        <w:tc>
          <w:tcPr>
            <w:tcW w:w="1964" w:type="dxa"/>
          </w:tcPr>
          <w:p>
            <w:pPr>
              <w:jc w:val="center"/>
              <w:rPr>
                <w:rFonts w:hint="default" w:ascii="楷体" w:hAnsi="楷体" w:eastAsia="楷体"/>
                <w:color w:val="000000"/>
                <w:sz w:val="22"/>
                <w:lang w:val="en-US" w:eastAsia="zh-CN"/>
              </w:rPr>
            </w:pPr>
            <w:r>
              <w:rPr>
                <w:rFonts w:hint="eastAsia" w:ascii="楷体" w:hAnsi="楷体" w:eastAsia="楷体"/>
                <w:color w:val="000000"/>
                <w:sz w:val="22"/>
                <w:lang w:val="en-US" w:eastAsia="zh-CN"/>
              </w:rPr>
              <w:t>辽宁分公司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8" w:type="dxa"/>
            <w:vAlign w:val="center"/>
          </w:tcPr>
          <w:p>
            <w:pPr>
              <w:jc w:val="center"/>
              <w:rPr>
                <w:rFonts w:hint="default" w:ascii="楷体" w:hAnsi="楷体" w:eastAsia="楷体"/>
                <w:color w:val="000000"/>
                <w:sz w:val="22"/>
                <w:lang w:val="en-US" w:eastAsia="zh-CN"/>
              </w:rPr>
            </w:pPr>
            <w:r>
              <w:rPr>
                <w:rFonts w:hint="default" w:ascii="楷体" w:hAnsi="楷体" w:eastAsia="楷体"/>
                <w:color w:val="000000"/>
                <w:sz w:val="22"/>
                <w:lang w:val="en-US" w:eastAsia="zh-CN"/>
              </w:rPr>
              <w:t>山西监管局</w:t>
            </w:r>
          </w:p>
          <w:p>
            <w:pPr>
              <w:jc w:val="center"/>
              <w:rPr>
                <w:rFonts w:hint="eastAsia" w:ascii="楷体" w:hAnsi="楷体" w:eastAsia="楷体"/>
                <w:color w:val="000000"/>
                <w:sz w:val="22"/>
                <w:lang w:val="en-US" w:eastAsia="zh-CN"/>
              </w:rPr>
            </w:pPr>
            <w:r>
              <w:rPr>
                <w:rFonts w:hint="eastAsia" w:ascii="楷体" w:hAnsi="楷体" w:eastAsia="楷体"/>
                <w:color w:val="000000"/>
                <w:sz w:val="22"/>
                <w:lang w:val="en-US" w:eastAsia="zh-CN"/>
              </w:rPr>
              <w:t>山西证券业协会</w:t>
            </w:r>
          </w:p>
          <w:p>
            <w:pPr>
              <w:jc w:val="center"/>
              <w:rPr>
                <w:rFonts w:hint="default" w:ascii="楷体" w:hAnsi="楷体" w:eastAsia="楷体"/>
                <w:color w:val="000000"/>
                <w:sz w:val="22"/>
                <w:lang w:val="en-US" w:eastAsia="zh-CN"/>
              </w:rPr>
            </w:pPr>
            <w:r>
              <w:rPr>
                <w:rFonts w:hint="eastAsia" w:ascii="楷体" w:hAnsi="楷体" w:eastAsia="楷体"/>
                <w:color w:val="000000"/>
                <w:sz w:val="22"/>
                <w:lang w:val="en-US" w:eastAsia="zh-CN"/>
              </w:rPr>
              <w:t>山西省期货业协会</w:t>
            </w:r>
          </w:p>
        </w:tc>
        <w:tc>
          <w:tcPr>
            <w:tcW w:w="3960" w:type="dxa"/>
            <w:vAlign w:val="center"/>
          </w:tcPr>
          <w:p>
            <w:pPr>
              <w:jc w:val="center"/>
              <w:rPr>
                <w:rFonts w:hint="eastAsia" w:ascii="楷体" w:hAnsi="楷体" w:eastAsia="楷体"/>
                <w:color w:val="000000"/>
                <w:sz w:val="22"/>
                <w:lang w:val="en-US" w:eastAsia="zh-CN"/>
              </w:rPr>
            </w:pPr>
            <w:r>
              <w:rPr>
                <w:rFonts w:hint="default" w:ascii="楷体" w:hAnsi="楷体" w:eastAsia="楷体"/>
                <w:color w:val="000000"/>
                <w:sz w:val="22"/>
                <w:lang w:val="en-US" w:eastAsia="zh-CN"/>
              </w:rPr>
              <w:t>2020年度扶贫工作优秀机构</w:t>
            </w:r>
          </w:p>
        </w:tc>
        <w:tc>
          <w:tcPr>
            <w:tcW w:w="1964" w:type="dxa"/>
            <w:vAlign w:val="center"/>
          </w:tcPr>
          <w:p>
            <w:pPr>
              <w:jc w:val="center"/>
              <w:rPr>
                <w:rFonts w:hint="eastAsia" w:ascii="楷体" w:hAnsi="楷体" w:eastAsia="楷体"/>
                <w:color w:val="000000"/>
                <w:sz w:val="22"/>
                <w:lang w:val="en-US" w:eastAsia="zh-CN"/>
              </w:rPr>
            </w:pPr>
            <w:r>
              <w:rPr>
                <w:rFonts w:hint="default" w:ascii="楷体" w:hAnsi="楷体" w:eastAsia="楷体"/>
                <w:color w:val="000000"/>
                <w:sz w:val="22"/>
                <w:lang w:val="en-US" w:eastAsia="zh-CN"/>
              </w:rPr>
              <w:t>太原营业部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tcPr>
          <w:p>
            <w:pPr>
              <w:jc w:val="center"/>
              <w:rPr>
                <w:rFonts w:hint="eastAsia" w:ascii="黑体" w:hAnsi="黑体" w:eastAsia="黑体"/>
                <w:b/>
                <w:color w:val="000000"/>
                <w:sz w:val="32"/>
                <w:szCs w:val="32"/>
              </w:rPr>
            </w:pPr>
            <w:r>
              <w:rPr>
                <w:rFonts w:hint="eastAsia" w:ascii="楷体" w:hAnsi="楷体" w:eastAsia="楷体"/>
                <w:color w:val="000000"/>
                <w:sz w:val="22"/>
              </w:rPr>
              <w:t>上海市金融工会工作委员会</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上海金融职工立功竞赛建功奖</w:t>
            </w:r>
          </w:p>
        </w:tc>
        <w:tc>
          <w:tcPr>
            <w:tcW w:w="1964" w:type="dxa"/>
          </w:tcPr>
          <w:p>
            <w:pPr>
              <w:jc w:val="center"/>
              <w:rPr>
                <w:rFonts w:hint="eastAsia" w:ascii="楷体" w:hAnsi="楷体" w:eastAsia="楷体"/>
                <w:color w:val="000000"/>
                <w:sz w:val="22"/>
              </w:rPr>
            </w:pPr>
            <w:r>
              <w:rPr>
                <w:rFonts w:hint="eastAsia" w:ascii="楷体" w:hAnsi="楷体" w:eastAsia="楷体"/>
                <w:color w:val="000000"/>
                <w:sz w:val="22"/>
              </w:rPr>
              <w:t>新湖期货反洗钱管理团队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598" w:type="dxa"/>
            <w:vMerge w:val="restart"/>
            <w:vAlign w:val="center"/>
          </w:tcPr>
          <w:p>
            <w:pPr>
              <w:jc w:val="center"/>
              <w:rPr>
                <w:rFonts w:hint="eastAsia" w:ascii="楷体" w:hAnsi="楷体" w:eastAsia="楷体"/>
                <w:color w:val="000000"/>
                <w:sz w:val="22"/>
              </w:rPr>
            </w:pPr>
            <w:r>
              <w:rPr>
                <w:rFonts w:hint="eastAsia" w:ascii="楷体" w:hAnsi="楷体" w:eastAsia="楷体"/>
                <w:color w:val="000000"/>
                <w:sz w:val="22"/>
              </w:rPr>
              <w:t>大连市金融业联合会</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新冠疫情防控先进集体</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大连分公司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98" w:type="dxa"/>
            <w:vMerge w:val="continue"/>
            <w:vAlign w:val="center"/>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新冠疫情防控先进个人</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刘鹏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598" w:type="dxa"/>
            <w:vAlign w:val="center"/>
          </w:tcPr>
          <w:p>
            <w:pPr>
              <w:jc w:val="center"/>
              <w:rPr>
                <w:rFonts w:hint="eastAsia" w:ascii="黑体" w:hAnsi="黑体" w:eastAsia="黑体"/>
                <w:b/>
                <w:color w:val="000000"/>
                <w:sz w:val="32"/>
                <w:szCs w:val="32"/>
              </w:rPr>
            </w:pPr>
            <w:r>
              <w:rPr>
                <w:rFonts w:hint="eastAsia" w:ascii="楷体" w:hAnsi="楷体" w:eastAsia="楷体"/>
                <w:color w:val="000000"/>
                <w:sz w:val="22"/>
              </w:rPr>
              <w:t>共青团上海市静安区委</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静安区五四红旗团组织</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新湖期货团支部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restart"/>
            <w:vAlign w:val="center"/>
          </w:tcPr>
          <w:p>
            <w:pPr>
              <w:jc w:val="center"/>
              <w:rPr>
                <w:rFonts w:hint="eastAsia" w:ascii="楷体" w:hAnsi="楷体" w:eastAsia="楷体"/>
                <w:color w:val="000000"/>
                <w:sz w:val="22"/>
                <w:lang w:val="en-US" w:eastAsia="zh-CN"/>
              </w:rPr>
            </w:pPr>
            <w:r>
              <w:rPr>
                <w:rFonts w:hint="eastAsia" w:ascii="楷体" w:hAnsi="楷体" w:eastAsia="楷体"/>
                <w:color w:val="000000"/>
                <w:sz w:val="22"/>
                <w:lang w:val="en-US" w:eastAsia="zh-CN"/>
              </w:rPr>
              <w:t>大连商品交易所</w:t>
            </w:r>
          </w:p>
          <w:p>
            <w:pPr>
              <w:jc w:val="center"/>
              <w:rPr>
                <w:rFonts w:hint="default" w:ascii="楷体" w:hAnsi="楷体" w:eastAsia="楷体"/>
                <w:color w:val="000000"/>
                <w:sz w:val="22"/>
                <w:lang w:val="en-US" w:eastAsia="zh-CN"/>
              </w:rPr>
            </w:pPr>
            <w:r>
              <w:rPr>
                <w:rFonts w:hint="eastAsia" w:ascii="楷体" w:hAnsi="楷体" w:eastAsia="楷体"/>
                <w:color w:val="000000"/>
                <w:sz w:val="22"/>
                <w:lang w:val="en-US" w:eastAsia="zh-CN"/>
              </w:rPr>
              <w:t>上海市期货同业公会</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lang w:val="en-US" w:eastAsia="zh-CN"/>
              </w:rPr>
              <w:t>第二届“期乐杯”棕榈油国际化路演竞赛组织奖</w:t>
            </w:r>
          </w:p>
        </w:tc>
        <w:tc>
          <w:tcPr>
            <w:tcW w:w="1964" w:type="dxa"/>
            <w:vAlign w:val="center"/>
          </w:tcPr>
          <w:p>
            <w:pPr>
              <w:jc w:val="center"/>
              <w:rPr>
                <w:rFonts w:hint="eastAsia" w:ascii="楷体" w:hAnsi="楷体" w:eastAsia="楷体"/>
                <w:color w:val="000000"/>
                <w:sz w:val="22"/>
                <w:lang w:val="en-US" w:eastAsia="zh-CN"/>
              </w:rPr>
            </w:pPr>
            <w:r>
              <w:rPr>
                <w:rFonts w:hint="eastAsia" w:ascii="楷体" w:hAnsi="楷体" w:eastAsia="楷体"/>
                <w:color w:val="000000"/>
                <w:sz w:val="22"/>
                <w:lang w:val="en-US" w:eastAsia="zh-CN"/>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vAlign w:val="center"/>
          </w:tcPr>
          <w:p>
            <w:pPr>
              <w:jc w:val="center"/>
              <w:rPr>
                <w:rFonts w:hint="eastAsia" w:ascii="楷体" w:hAnsi="楷体" w:eastAsia="楷体"/>
                <w:color w:val="000000"/>
                <w:sz w:val="22"/>
              </w:rPr>
            </w:pPr>
          </w:p>
        </w:tc>
        <w:tc>
          <w:tcPr>
            <w:tcW w:w="3960" w:type="dxa"/>
            <w:vMerge w:val="restart"/>
            <w:vAlign w:val="center"/>
          </w:tcPr>
          <w:p>
            <w:pPr>
              <w:jc w:val="center"/>
              <w:rPr>
                <w:rFonts w:hint="eastAsia" w:ascii="楷体" w:hAnsi="楷体" w:eastAsia="楷体"/>
                <w:color w:val="000000"/>
                <w:sz w:val="22"/>
              </w:rPr>
            </w:pPr>
            <w:r>
              <w:rPr>
                <w:rFonts w:hint="eastAsia" w:ascii="楷体" w:hAnsi="楷体" w:eastAsia="楷体"/>
                <w:color w:val="000000"/>
                <w:sz w:val="22"/>
                <w:lang w:val="en-US" w:eastAsia="zh-CN"/>
              </w:rPr>
              <w:t>第二届“期乐杯”棕榈油国际化路演竞赛学习奖</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lang w:val="en-US" w:eastAsia="zh-CN"/>
              </w:rPr>
              <w:t>胡伟喆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vAlign w:val="center"/>
          </w:tcPr>
          <w:p>
            <w:pPr>
              <w:jc w:val="center"/>
              <w:rPr>
                <w:rFonts w:hint="eastAsia" w:ascii="楷体" w:hAnsi="楷体" w:eastAsia="楷体"/>
                <w:color w:val="000000"/>
                <w:sz w:val="22"/>
              </w:rPr>
            </w:pPr>
          </w:p>
        </w:tc>
        <w:tc>
          <w:tcPr>
            <w:tcW w:w="3960" w:type="dxa"/>
            <w:vMerge w:val="continue"/>
            <w:vAlign w:val="center"/>
          </w:tcPr>
          <w:p>
            <w:pPr>
              <w:jc w:val="center"/>
              <w:rPr>
                <w:rFonts w:hint="eastAsia" w:ascii="楷体" w:hAnsi="楷体" w:eastAsia="楷体"/>
                <w:color w:val="000000"/>
                <w:sz w:val="22"/>
              </w:rPr>
            </w:pPr>
          </w:p>
        </w:tc>
        <w:tc>
          <w:tcPr>
            <w:tcW w:w="1964" w:type="dxa"/>
            <w:vAlign w:val="center"/>
          </w:tcPr>
          <w:p>
            <w:pPr>
              <w:jc w:val="center"/>
              <w:rPr>
                <w:rFonts w:hint="eastAsia" w:ascii="楷体" w:hAnsi="楷体" w:eastAsia="楷体"/>
                <w:color w:val="000000"/>
                <w:sz w:val="22"/>
                <w:lang w:val="en-US" w:eastAsia="zh-CN"/>
              </w:rPr>
            </w:pPr>
            <w:r>
              <w:rPr>
                <w:rFonts w:hint="eastAsia" w:ascii="楷体" w:hAnsi="楷体" w:eastAsia="楷体"/>
                <w:color w:val="000000"/>
                <w:sz w:val="22"/>
                <w:lang w:val="en-US" w:eastAsia="zh-CN"/>
              </w:rPr>
              <w:t>杨芳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vMerge w:val="continue"/>
            <w:vAlign w:val="center"/>
          </w:tcPr>
          <w:p>
            <w:pPr>
              <w:jc w:val="center"/>
              <w:rPr>
                <w:rFonts w:hint="eastAsia" w:ascii="楷体" w:hAnsi="楷体" w:eastAsia="楷体"/>
                <w:color w:val="000000"/>
                <w:sz w:val="22"/>
              </w:rPr>
            </w:pPr>
          </w:p>
        </w:tc>
        <w:tc>
          <w:tcPr>
            <w:tcW w:w="1964" w:type="dxa"/>
            <w:vAlign w:val="center"/>
          </w:tcPr>
          <w:p>
            <w:pPr>
              <w:jc w:val="center"/>
              <w:rPr>
                <w:rFonts w:hint="eastAsia" w:ascii="楷体" w:hAnsi="楷体" w:eastAsia="楷体"/>
                <w:color w:val="000000"/>
                <w:sz w:val="22"/>
                <w:lang w:val="en-US" w:eastAsia="zh-CN"/>
              </w:rPr>
            </w:pPr>
            <w:r>
              <w:rPr>
                <w:rFonts w:hint="eastAsia" w:ascii="楷体" w:hAnsi="楷体" w:eastAsia="楷体"/>
                <w:color w:val="000000"/>
                <w:sz w:val="22"/>
                <w:lang w:val="en-US" w:eastAsia="zh-CN"/>
              </w:rPr>
              <w:t>王子豪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Align w:val="center"/>
          </w:tcPr>
          <w:p>
            <w:pPr>
              <w:jc w:val="center"/>
              <w:rPr>
                <w:rFonts w:hint="eastAsia" w:ascii="黑体" w:hAnsi="黑体" w:eastAsia="黑体"/>
                <w:b/>
                <w:color w:val="000000"/>
                <w:sz w:val="32"/>
                <w:szCs w:val="32"/>
              </w:rPr>
            </w:pPr>
            <w:r>
              <w:rPr>
                <w:rFonts w:hint="eastAsia" w:ascii="楷体" w:hAnsi="楷体" w:eastAsia="楷体"/>
                <w:color w:val="000000"/>
                <w:sz w:val="22"/>
              </w:rPr>
              <w:t>上海市期货同业公会</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2020年度期货行业技能竞赛活动</w:t>
            </w:r>
          </w:p>
          <w:p>
            <w:pPr>
              <w:jc w:val="center"/>
              <w:rPr>
                <w:rFonts w:hint="eastAsia" w:ascii="楷体" w:hAnsi="楷体" w:eastAsia="楷体"/>
                <w:color w:val="000000"/>
                <w:sz w:val="22"/>
              </w:rPr>
            </w:pPr>
            <w:r>
              <w:rPr>
                <w:rFonts w:hint="eastAsia" w:ascii="楷体" w:hAnsi="楷体" w:eastAsia="楷体"/>
                <w:color w:val="000000"/>
                <w:sz w:val="22"/>
              </w:rPr>
              <w:t>优秀组织奖</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restart"/>
            <w:vAlign w:val="center"/>
          </w:tcPr>
          <w:p>
            <w:pPr>
              <w:jc w:val="center"/>
              <w:rPr>
                <w:rFonts w:hint="eastAsia" w:ascii="楷体" w:hAnsi="楷体" w:eastAsia="楷体"/>
                <w:color w:val="000000"/>
                <w:sz w:val="22"/>
              </w:rPr>
            </w:pPr>
            <w:r>
              <w:rPr>
                <w:rFonts w:hint="eastAsia" w:ascii="楷体" w:hAnsi="楷体" w:eastAsia="楷体"/>
                <w:color w:val="000000"/>
                <w:sz w:val="22"/>
              </w:rPr>
              <w:t>期货日报</w:t>
            </w:r>
          </w:p>
          <w:p>
            <w:pPr>
              <w:jc w:val="center"/>
              <w:rPr>
                <w:rFonts w:hint="eastAsia" w:ascii="楷体" w:hAnsi="楷体" w:eastAsia="楷体"/>
                <w:color w:val="000000"/>
                <w:sz w:val="22"/>
              </w:rPr>
            </w:pPr>
            <w:r>
              <w:rPr>
                <w:rFonts w:hint="eastAsia" w:ascii="楷体" w:hAnsi="楷体" w:eastAsia="楷体"/>
                <w:color w:val="000000"/>
                <w:sz w:val="22"/>
              </w:rPr>
              <w:t>证券时报</w:t>
            </w: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中国最佳期货公司</w:t>
            </w:r>
          </w:p>
        </w:tc>
        <w:tc>
          <w:tcPr>
            <w:tcW w:w="1964" w:type="dxa"/>
            <w:vMerge w:val="restart"/>
            <w:vAlign w:val="center"/>
          </w:tcPr>
          <w:p>
            <w:pPr>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最佳商品期货产业服务奖</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最佳精准扶贫及爱心公益奖</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最佳企业品牌建设奖</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最佳资产管理领航奖</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黑体" w:hAnsi="黑体" w:eastAsia="黑体"/>
                <w:b/>
                <w:color w:val="000000"/>
                <w:sz w:val="32"/>
                <w:szCs w:val="3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中国期货公司金牌管理团队</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黑体" w:hAnsi="黑体" w:eastAsia="黑体"/>
                <w:b/>
                <w:color w:val="000000"/>
                <w:sz w:val="32"/>
                <w:szCs w:val="3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最佳期货IT系统建设奖</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黑体" w:hAnsi="黑体" w:eastAsia="黑体"/>
                <w:b/>
                <w:color w:val="000000"/>
                <w:sz w:val="32"/>
                <w:szCs w:val="3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期货公司国际化进程新锐奖</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黑体" w:hAnsi="黑体" w:eastAsia="黑体"/>
                <w:b/>
                <w:color w:val="000000"/>
                <w:sz w:val="32"/>
                <w:szCs w:val="3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最佳衍生品综合服务创新奖</w:t>
            </w:r>
          </w:p>
        </w:tc>
        <w:tc>
          <w:tcPr>
            <w:tcW w:w="1964" w:type="dxa"/>
            <w:vMerge w:val="continue"/>
          </w:tcPr>
          <w:p>
            <w:pPr>
              <w:jc w:val="center"/>
              <w:rPr>
                <w:rFonts w:hint="eastAsia" w:ascii="楷体" w:hAnsi="楷体" w:eastAsia="楷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黑体" w:hAnsi="黑体" w:eastAsia="黑体"/>
                <w:b/>
                <w:color w:val="000000"/>
                <w:sz w:val="32"/>
                <w:szCs w:val="3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最佳风险管理子公司服务创新奖</w:t>
            </w:r>
          </w:p>
        </w:tc>
        <w:tc>
          <w:tcPr>
            <w:tcW w:w="1964" w:type="dxa"/>
          </w:tcPr>
          <w:p>
            <w:pPr>
              <w:jc w:val="center"/>
              <w:rPr>
                <w:rFonts w:hint="eastAsia" w:ascii="楷体" w:hAnsi="楷体" w:eastAsia="楷体"/>
                <w:color w:val="000000"/>
                <w:sz w:val="22"/>
              </w:rPr>
            </w:pPr>
            <w:r>
              <w:rPr>
                <w:rFonts w:hint="eastAsia" w:ascii="楷体" w:hAnsi="楷体" w:eastAsia="楷体"/>
                <w:color w:val="000000"/>
                <w:sz w:val="22"/>
              </w:rPr>
              <w:t>新湖瑞丰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黑体" w:hAnsi="黑体" w:eastAsia="黑体"/>
                <w:b/>
                <w:color w:val="000000"/>
                <w:sz w:val="32"/>
                <w:szCs w:val="3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最佳中国期货经营分支机构</w:t>
            </w:r>
          </w:p>
        </w:tc>
        <w:tc>
          <w:tcPr>
            <w:tcW w:w="1964" w:type="dxa"/>
          </w:tcPr>
          <w:p>
            <w:pPr>
              <w:jc w:val="center"/>
              <w:rPr>
                <w:rFonts w:hint="eastAsia" w:ascii="楷体" w:hAnsi="楷体" w:eastAsia="楷体"/>
                <w:color w:val="000000"/>
                <w:sz w:val="22"/>
              </w:rPr>
            </w:pPr>
            <w:r>
              <w:rPr>
                <w:rFonts w:hint="eastAsia" w:ascii="楷体" w:hAnsi="楷体" w:eastAsia="楷体"/>
                <w:color w:val="000000"/>
                <w:sz w:val="22"/>
              </w:rPr>
              <w:t>深圳分公司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tcPr>
          <w:p>
            <w:pPr>
              <w:jc w:val="center"/>
              <w:rPr>
                <w:rFonts w:hint="eastAsia" w:ascii="楷体" w:hAnsi="楷体" w:eastAsia="楷体"/>
                <w:color w:val="000000"/>
                <w:sz w:val="22"/>
              </w:rPr>
            </w:pPr>
            <w:r>
              <w:rPr>
                <w:rFonts w:hint="eastAsia" w:ascii="楷体" w:hAnsi="楷体" w:eastAsia="楷体"/>
                <w:color w:val="000000"/>
                <w:sz w:val="22"/>
              </w:rPr>
              <w:t>中国期货公司年度最佳掌舵人</w:t>
            </w:r>
          </w:p>
        </w:tc>
        <w:tc>
          <w:tcPr>
            <w:tcW w:w="1964" w:type="dxa"/>
          </w:tcPr>
          <w:p>
            <w:pPr>
              <w:jc w:val="center"/>
              <w:rPr>
                <w:rFonts w:hint="eastAsia" w:ascii="楷体" w:hAnsi="楷体" w:eastAsia="楷体"/>
                <w:color w:val="000000"/>
                <w:sz w:val="22"/>
              </w:rPr>
            </w:pPr>
            <w:r>
              <w:rPr>
                <w:rFonts w:hint="eastAsia" w:ascii="楷体" w:hAnsi="楷体" w:eastAsia="楷体"/>
                <w:color w:val="000000"/>
                <w:sz w:val="22"/>
              </w:rPr>
              <w:t>马文胜</w:t>
            </w:r>
          </w:p>
        </w:tc>
      </w:tr>
      <w:tr>
        <w:tblPrEx>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中国金牌期货研究所</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新湖期货</w:t>
            </w:r>
          </w:p>
          <w:p>
            <w:pPr>
              <w:jc w:val="center"/>
              <w:rPr>
                <w:rFonts w:hint="eastAsia" w:ascii="楷体" w:hAnsi="楷体" w:eastAsia="楷体"/>
                <w:color w:val="000000"/>
                <w:sz w:val="22"/>
              </w:rPr>
            </w:pPr>
            <w:r>
              <w:rPr>
                <w:rFonts w:hint="eastAsia" w:ascii="楷体" w:hAnsi="楷体" w:eastAsia="楷体"/>
                <w:color w:val="000000"/>
                <w:sz w:val="22"/>
              </w:rPr>
              <w:t>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最佳宏观策略分析师</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李明玉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最佳工业品期货分析师</w:t>
            </w:r>
          </w:p>
        </w:tc>
        <w:tc>
          <w:tcPr>
            <w:tcW w:w="1964" w:type="dxa"/>
            <w:vAlign w:val="center"/>
          </w:tcPr>
          <w:p>
            <w:pPr>
              <w:jc w:val="center"/>
              <w:rPr>
                <w:rFonts w:hint="eastAsia" w:ascii="楷体" w:hAnsi="楷体" w:eastAsia="楷体"/>
                <w:color w:val="000000"/>
                <w:sz w:val="22"/>
                <w:lang w:eastAsia="zh-CN"/>
              </w:rPr>
            </w:pPr>
            <w:r>
              <w:rPr>
                <w:rFonts w:hint="eastAsia" w:ascii="楷体" w:hAnsi="楷体" w:eastAsia="楷体"/>
                <w:color w:val="000000"/>
                <w:sz w:val="22"/>
              </w:rPr>
              <w:t>姜秋宇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最佳工业品期货分析师</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施潇涵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最佳农副产品期货分析师</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孙昭君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Merge w:val="continue"/>
          </w:tcPr>
          <w:p>
            <w:pPr>
              <w:jc w:val="center"/>
              <w:rPr>
                <w:rFonts w:hint="eastAsia" w:ascii="楷体" w:hAnsi="楷体" w:eastAsia="楷体"/>
                <w:color w:val="000000"/>
                <w:sz w:val="22"/>
              </w:rPr>
            </w:pP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第十四届全国期货（期权）实盘交易大赛优秀创新服务奖</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tcPr>
          <w:p>
            <w:pPr>
              <w:jc w:val="center"/>
              <w:rPr>
                <w:rFonts w:hint="eastAsia" w:ascii="黑体" w:hAnsi="黑体" w:eastAsia="黑体"/>
                <w:b/>
                <w:color w:val="000000"/>
                <w:sz w:val="32"/>
                <w:szCs w:val="32"/>
              </w:rPr>
            </w:pPr>
            <w:r>
              <w:rPr>
                <w:rFonts w:hint="eastAsia" w:ascii="楷体" w:hAnsi="楷体" w:eastAsia="楷体"/>
                <w:color w:val="000000"/>
                <w:sz w:val="22"/>
              </w:rPr>
              <w:t>证券时报</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2020中国优秀扶贫期货公司君鼎奖</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新湖期货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vAlign w:val="center"/>
          </w:tcPr>
          <w:p>
            <w:pPr>
              <w:jc w:val="center"/>
              <w:rPr>
                <w:rFonts w:hint="eastAsia" w:ascii="黑体" w:hAnsi="黑体" w:eastAsia="黑体"/>
                <w:b/>
                <w:color w:val="000000"/>
                <w:sz w:val="32"/>
                <w:szCs w:val="32"/>
              </w:rPr>
            </w:pPr>
            <w:r>
              <w:rPr>
                <w:rFonts w:hint="eastAsia" w:ascii="楷体" w:hAnsi="楷体" w:eastAsia="楷体"/>
                <w:color w:val="000000"/>
                <w:sz w:val="22"/>
              </w:rPr>
              <w:t>天目西路街道社区党委</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抗疫先锋志愿者</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马文胜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tcPr>
          <w:p>
            <w:pPr>
              <w:jc w:val="center"/>
              <w:rPr>
                <w:rFonts w:hint="eastAsia" w:ascii="楷体" w:hAnsi="楷体" w:eastAsia="楷体"/>
                <w:color w:val="000000"/>
                <w:sz w:val="22"/>
              </w:rPr>
            </w:pPr>
            <w:r>
              <w:rPr>
                <w:rFonts w:hint="eastAsia" w:ascii="楷体" w:hAnsi="楷体" w:eastAsia="楷体"/>
                <w:color w:val="000000"/>
                <w:sz w:val="22"/>
              </w:rPr>
              <w:t>静安区天目西路</w:t>
            </w:r>
          </w:p>
          <w:p>
            <w:pPr>
              <w:jc w:val="center"/>
              <w:rPr>
                <w:rFonts w:hint="eastAsia" w:ascii="黑体" w:hAnsi="黑体" w:eastAsia="楷体"/>
                <w:b/>
                <w:color w:val="000000"/>
                <w:sz w:val="32"/>
                <w:szCs w:val="32"/>
                <w:lang w:eastAsia="zh-CN"/>
              </w:rPr>
            </w:pPr>
            <w:r>
              <w:rPr>
                <w:rFonts w:hint="eastAsia" w:ascii="楷体" w:hAnsi="楷体" w:eastAsia="楷体"/>
                <w:color w:val="000000"/>
                <w:sz w:val="22"/>
              </w:rPr>
              <w:t>街道</w:t>
            </w:r>
            <w:r>
              <w:rPr>
                <w:rFonts w:hint="eastAsia" w:ascii="楷体" w:hAnsi="楷体" w:eastAsia="楷体"/>
                <w:color w:val="000000"/>
                <w:sz w:val="22"/>
                <w:lang w:val="en-US" w:eastAsia="zh-CN"/>
              </w:rPr>
              <w:t>党工委</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优秀党务工作者</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刘畅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tcPr>
          <w:p>
            <w:pPr>
              <w:jc w:val="center"/>
              <w:rPr>
                <w:rFonts w:hint="eastAsia" w:ascii="黑体" w:hAnsi="黑体" w:eastAsia="黑体"/>
                <w:b/>
                <w:color w:val="000000"/>
                <w:sz w:val="32"/>
                <w:szCs w:val="32"/>
              </w:rPr>
            </w:pPr>
            <w:r>
              <w:rPr>
                <w:rFonts w:hint="eastAsia" w:ascii="楷体" w:hAnsi="楷体" w:eastAsia="楷体"/>
                <w:color w:val="000000"/>
                <w:sz w:val="22"/>
              </w:rPr>
              <w:t>静安区天目西路街道</w:t>
            </w:r>
            <w:r>
              <w:rPr>
                <w:rFonts w:hint="eastAsia" w:ascii="楷体" w:hAnsi="楷体" w:eastAsia="楷体"/>
                <w:color w:val="000000"/>
                <w:sz w:val="22"/>
                <w:lang w:val="en-US" w:eastAsia="zh-CN"/>
              </w:rPr>
              <w:t>党工委</w:t>
            </w:r>
            <w:r>
              <w:rPr>
                <w:rFonts w:hint="eastAsia" w:ascii="楷体" w:hAnsi="楷体" w:eastAsia="楷体"/>
                <w:color w:val="000000"/>
                <w:sz w:val="22"/>
              </w:rPr>
              <w:t>、静安区人民政府天目西路街道办事处</w:t>
            </w:r>
          </w:p>
        </w:tc>
        <w:tc>
          <w:tcPr>
            <w:tcW w:w="3960" w:type="dxa"/>
            <w:vAlign w:val="center"/>
          </w:tcPr>
          <w:p>
            <w:pPr>
              <w:jc w:val="center"/>
              <w:rPr>
                <w:rFonts w:hint="eastAsia" w:ascii="楷体" w:hAnsi="楷体" w:eastAsia="楷体"/>
                <w:color w:val="000000"/>
                <w:sz w:val="22"/>
              </w:rPr>
            </w:pPr>
            <w:r>
              <w:rPr>
                <w:rFonts w:hint="default" w:ascii="楷体" w:hAnsi="楷体" w:eastAsia="楷体"/>
                <w:color w:val="000000"/>
                <w:sz w:val="22"/>
                <w:lang w:val="en-US" w:eastAsia="zh-CN"/>
              </w:rPr>
              <w:t>天目西路街道2020年“奉献天目”年度人物</w:t>
            </w:r>
          </w:p>
        </w:tc>
        <w:tc>
          <w:tcPr>
            <w:tcW w:w="1964" w:type="dxa"/>
            <w:vAlign w:val="center"/>
          </w:tcPr>
          <w:p>
            <w:pPr>
              <w:jc w:val="center"/>
              <w:rPr>
                <w:rFonts w:hint="eastAsia" w:ascii="楷体" w:hAnsi="楷体" w:eastAsia="楷体"/>
                <w:color w:val="000000"/>
                <w:sz w:val="22"/>
              </w:rPr>
            </w:pPr>
            <w:r>
              <w:rPr>
                <w:rFonts w:hint="default" w:ascii="楷体" w:hAnsi="楷体" w:eastAsia="楷体"/>
                <w:color w:val="000000"/>
                <w:sz w:val="22"/>
                <w:lang w:val="en-US" w:eastAsia="zh-CN"/>
              </w:rPr>
              <w:t>陈平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98" w:type="dxa"/>
          </w:tcPr>
          <w:p>
            <w:pPr>
              <w:jc w:val="center"/>
              <w:rPr>
                <w:rFonts w:hint="eastAsia" w:ascii="黑体" w:hAnsi="黑体" w:eastAsia="黑体"/>
                <w:b/>
                <w:color w:val="000000"/>
                <w:sz w:val="32"/>
                <w:szCs w:val="32"/>
              </w:rPr>
            </w:pPr>
            <w:r>
              <w:rPr>
                <w:rFonts w:hint="eastAsia" w:ascii="楷体" w:hAnsi="楷体" w:eastAsia="楷体"/>
                <w:color w:val="000000"/>
                <w:sz w:val="22"/>
              </w:rPr>
              <w:t>中共崇明区堡镇委员会</w:t>
            </w:r>
          </w:p>
        </w:tc>
        <w:tc>
          <w:tcPr>
            <w:tcW w:w="3960" w:type="dxa"/>
            <w:vAlign w:val="center"/>
          </w:tcPr>
          <w:p>
            <w:pPr>
              <w:jc w:val="center"/>
              <w:rPr>
                <w:rFonts w:hint="eastAsia" w:ascii="楷体" w:hAnsi="楷体" w:eastAsia="楷体"/>
                <w:color w:val="000000"/>
                <w:sz w:val="22"/>
              </w:rPr>
            </w:pPr>
            <w:r>
              <w:rPr>
                <w:rFonts w:hint="eastAsia" w:ascii="楷体" w:hAnsi="楷体" w:eastAsia="楷体"/>
                <w:color w:val="000000"/>
                <w:sz w:val="22"/>
              </w:rPr>
              <w:t>抗疫爱心企业</w:t>
            </w:r>
          </w:p>
        </w:tc>
        <w:tc>
          <w:tcPr>
            <w:tcW w:w="1964" w:type="dxa"/>
            <w:vAlign w:val="center"/>
          </w:tcPr>
          <w:p>
            <w:pPr>
              <w:jc w:val="center"/>
              <w:rPr>
                <w:rFonts w:hint="eastAsia" w:ascii="楷体" w:hAnsi="楷体" w:eastAsia="楷体"/>
                <w:color w:val="000000"/>
                <w:sz w:val="22"/>
              </w:rPr>
            </w:pPr>
            <w:r>
              <w:rPr>
                <w:rFonts w:hint="eastAsia" w:ascii="楷体" w:hAnsi="楷体" w:eastAsia="楷体"/>
                <w:color w:val="000000"/>
                <w:sz w:val="22"/>
              </w:rPr>
              <w:t>新湖期货</w:t>
            </w:r>
          </w:p>
        </w:tc>
      </w:tr>
    </w:tbl>
    <w:p>
      <w:pPr>
        <w:widowControl/>
        <w:jc w:val="left"/>
        <w:rPr>
          <w:rFonts w:ascii="宋体" w:hAnsi="宋体"/>
          <w:sz w:val="28"/>
          <w:szCs w:val="28"/>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1638937"/>
      <w:docPartObj>
        <w:docPartGallery w:val="autotext"/>
      </w:docPartObj>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drawing>
        <wp:anchor distT="0" distB="0" distL="114300" distR="114300" simplePos="0" relativeHeight="251659264" behindDoc="0" locked="0" layoutInCell="1" allowOverlap="1">
          <wp:simplePos x="0" y="0"/>
          <wp:positionH relativeFrom="column">
            <wp:posOffset>114300</wp:posOffset>
          </wp:positionH>
          <wp:positionV relativeFrom="paragraph">
            <wp:posOffset>12065</wp:posOffset>
          </wp:positionV>
          <wp:extent cx="1400175" cy="294005"/>
          <wp:effectExtent l="0" t="0" r="1905" b="10795"/>
          <wp:wrapNone/>
          <wp:docPr id="3"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25"/>
                  <pic:cNvPicPr preferRelativeResize="0">
                    <a:picLocks noChangeAspect="1"/>
                  </pic:cNvPicPr>
                </pic:nvPicPr>
                <pic:blipFill>
                  <a:blip r:embed="rId1"/>
                  <a:stretch>
                    <a:fillRect/>
                  </a:stretch>
                </pic:blipFill>
                <pic:spPr>
                  <a:xfrm>
                    <a:off x="0" y="0"/>
                    <a:ext cx="1400175" cy="294005"/>
                  </a:xfrm>
                  <a:prstGeom prst="rect">
                    <a:avLst/>
                  </a:prstGeom>
                  <a:noFill/>
                  <a:ln>
                    <a:noFill/>
                  </a:ln>
                </pic:spPr>
              </pic:pic>
            </a:graphicData>
          </a:graphic>
        </wp:anchor>
      </w:drawing>
    </w:r>
  </w:p>
  <w:p>
    <w:pPr>
      <w:pStyle w:val="14"/>
      <w:rPr>
        <w:rFonts w:ascii="宋体" w:hAnsi="宋体"/>
        <w:sz w:val="21"/>
        <w:szCs w:val="21"/>
      </w:rPr>
    </w:pPr>
    <w:r>
      <w:rPr>
        <w:rFonts w:hint="eastAsia"/>
      </w:rPr>
      <w:t xml:space="preserve">                                                                </w:t>
    </w:r>
    <w:r>
      <w:rPr>
        <w:rFonts w:hint="eastAsia" w:ascii="宋体" w:hAnsi="宋体"/>
        <w:sz w:val="21"/>
        <w:szCs w:val="21"/>
      </w:rPr>
      <w:t xml:space="preserve"> 20</w:t>
    </w:r>
    <w:r>
      <w:rPr>
        <w:rFonts w:hint="eastAsia" w:ascii="宋体" w:hAnsi="宋体"/>
        <w:sz w:val="21"/>
        <w:szCs w:val="21"/>
        <w:lang w:val="en-US" w:eastAsia="zh-CN"/>
      </w:rPr>
      <w:t>20</w:t>
    </w:r>
    <w:r>
      <w:rPr>
        <w:rFonts w:hint="eastAsia" w:ascii="宋体" w:hAnsi="宋体"/>
        <w:sz w:val="21"/>
        <w:szCs w:val="21"/>
      </w:rPr>
      <w:t>度社会责任报告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E61BD"/>
    <w:multiLevelType w:val="singleLevel"/>
    <w:tmpl w:val="DB8E61BD"/>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E8"/>
    <w:rsid w:val="00003C5F"/>
    <w:rsid w:val="00005142"/>
    <w:rsid w:val="00005568"/>
    <w:rsid w:val="0000605B"/>
    <w:rsid w:val="00006ABA"/>
    <w:rsid w:val="00007003"/>
    <w:rsid w:val="00013323"/>
    <w:rsid w:val="00020BEA"/>
    <w:rsid w:val="00026C3E"/>
    <w:rsid w:val="00032DC3"/>
    <w:rsid w:val="00041331"/>
    <w:rsid w:val="0004224E"/>
    <w:rsid w:val="00045B96"/>
    <w:rsid w:val="00046C52"/>
    <w:rsid w:val="00047496"/>
    <w:rsid w:val="0005063A"/>
    <w:rsid w:val="00056757"/>
    <w:rsid w:val="00060944"/>
    <w:rsid w:val="000639B7"/>
    <w:rsid w:val="00065998"/>
    <w:rsid w:val="000675A4"/>
    <w:rsid w:val="000710EC"/>
    <w:rsid w:val="00071FF9"/>
    <w:rsid w:val="00072343"/>
    <w:rsid w:val="00083FEE"/>
    <w:rsid w:val="00084E6A"/>
    <w:rsid w:val="000A2699"/>
    <w:rsid w:val="000B222F"/>
    <w:rsid w:val="000B2B07"/>
    <w:rsid w:val="000D43B4"/>
    <w:rsid w:val="000D5DC9"/>
    <w:rsid w:val="000E099E"/>
    <w:rsid w:val="000E0A3C"/>
    <w:rsid w:val="000E143B"/>
    <w:rsid w:val="000E18E8"/>
    <w:rsid w:val="000E488A"/>
    <w:rsid w:val="000E5A2F"/>
    <w:rsid w:val="000E6E32"/>
    <w:rsid w:val="000E74C6"/>
    <w:rsid w:val="000F228A"/>
    <w:rsid w:val="0010162E"/>
    <w:rsid w:val="00103771"/>
    <w:rsid w:val="00106220"/>
    <w:rsid w:val="00107407"/>
    <w:rsid w:val="001329B9"/>
    <w:rsid w:val="00142B4E"/>
    <w:rsid w:val="00143333"/>
    <w:rsid w:val="0014348C"/>
    <w:rsid w:val="0014381A"/>
    <w:rsid w:val="001441FD"/>
    <w:rsid w:val="00145EE7"/>
    <w:rsid w:val="001508EE"/>
    <w:rsid w:val="0015145B"/>
    <w:rsid w:val="0015219F"/>
    <w:rsid w:val="001522CF"/>
    <w:rsid w:val="0015409F"/>
    <w:rsid w:val="001613EE"/>
    <w:rsid w:val="00164882"/>
    <w:rsid w:val="00164E4D"/>
    <w:rsid w:val="00165BCA"/>
    <w:rsid w:val="001664A6"/>
    <w:rsid w:val="00170532"/>
    <w:rsid w:val="00172A27"/>
    <w:rsid w:val="00172FE9"/>
    <w:rsid w:val="00174041"/>
    <w:rsid w:val="00180A6F"/>
    <w:rsid w:val="001818C8"/>
    <w:rsid w:val="00182AE1"/>
    <w:rsid w:val="0018358C"/>
    <w:rsid w:val="001854DB"/>
    <w:rsid w:val="00185D52"/>
    <w:rsid w:val="00185D61"/>
    <w:rsid w:val="00190778"/>
    <w:rsid w:val="00197FF2"/>
    <w:rsid w:val="001A098D"/>
    <w:rsid w:val="001A36A8"/>
    <w:rsid w:val="001A5D25"/>
    <w:rsid w:val="001A6A39"/>
    <w:rsid w:val="001C0B99"/>
    <w:rsid w:val="001C3F05"/>
    <w:rsid w:val="001C5918"/>
    <w:rsid w:val="001D2267"/>
    <w:rsid w:val="001D7576"/>
    <w:rsid w:val="001E4BF4"/>
    <w:rsid w:val="001E51C3"/>
    <w:rsid w:val="001F576F"/>
    <w:rsid w:val="002029C9"/>
    <w:rsid w:val="00205473"/>
    <w:rsid w:val="00205BBD"/>
    <w:rsid w:val="002069EB"/>
    <w:rsid w:val="002075CC"/>
    <w:rsid w:val="00211035"/>
    <w:rsid w:val="002137C8"/>
    <w:rsid w:val="00214D93"/>
    <w:rsid w:val="00220FAC"/>
    <w:rsid w:val="00224064"/>
    <w:rsid w:val="00235966"/>
    <w:rsid w:val="00236973"/>
    <w:rsid w:val="00242E13"/>
    <w:rsid w:val="002460F7"/>
    <w:rsid w:val="0024734C"/>
    <w:rsid w:val="002532CE"/>
    <w:rsid w:val="002538CD"/>
    <w:rsid w:val="00253ECC"/>
    <w:rsid w:val="00260F32"/>
    <w:rsid w:val="002618E6"/>
    <w:rsid w:val="00280309"/>
    <w:rsid w:val="002832D3"/>
    <w:rsid w:val="002916E4"/>
    <w:rsid w:val="00293AF4"/>
    <w:rsid w:val="0029677F"/>
    <w:rsid w:val="00296800"/>
    <w:rsid w:val="002976D4"/>
    <w:rsid w:val="002A2366"/>
    <w:rsid w:val="002A35FE"/>
    <w:rsid w:val="002A43EE"/>
    <w:rsid w:val="002A509B"/>
    <w:rsid w:val="002A53C4"/>
    <w:rsid w:val="002A6FB4"/>
    <w:rsid w:val="002A7CA3"/>
    <w:rsid w:val="002B006C"/>
    <w:rsid w:val="002B025C"/>
    <w:rsid w:val="002B0278"/>
    <w:rsid w:val="002B0E3A"/>
    <w:rsid w:val="002B12DB"/>
    <w:rsid w:val="002B2171"/>
    <w:rsid w:val="002B4386"/>
    <w:rsid w:val="002C532F"/>
    <w:rsid w:val="002D1806"/>
    <w:rsid w:val="002D18D3"/>
    <w:rsid w:val="002D35DA"/>
    <w:rsid w:val="002D714F"/>
    <w:rsid w:val="002E06AA"/>
    <w:rsid w:val="002E6BF1"/>
    <w:rsid w:val="00301742"/>
    <w:rsid w:val="0030453D"/>
    <w:rsid w:val="003064C8"/>
    <w:rsid w:val="0031508E"/>
    <w:rsid w:val="0032433C"/>
    <w:rsid w:val="00326734"/>
    <w:rsid w:val="0033056F"/>
    <w:rsid w:val="00330D8C"/>
    <w:rsid w:val="00330E6C"/>
    <w:rsid w:val="00333CCC"/>
    <w:rsid w:val="00341885"/>
    <w:rsid w:val="00342478"/>
    <w:rsid w:val="00351015"/>
    <w:rsid w:val="00351767"/>
    <w:rsid w:val="00361085"/>
    <w:rsid w:val="00361F67"/>
    <w:rsid w:val="0038048E"/>
    <w:rsid w:val="00391CCB"/>
    <w:rsid w:val="00392A3C"/>
    <w:rsid w:val="00397591"/>
    <w:rsid w:val="003978D2"/>
    <w:rsid w:val="003A0C2E"/>
    <w:rsid w:val="003A2F69"/>
    <w:rsid w:val="003A320F"/>
    <w:rsid w:val="003A703B"/>
    <w:rsid w:val="003A73A1"/>
    <w:rsid w:val="003B46D0"/>
    <w:rsid w:val="003C409F"/>
    <w:rsid w:val="003C5C71"/>
    <w:rsid w:val="003D0C56"/>
    <w:rsid w:val="003D11B1"/>
    <w:rsid w:val="003D1766"/>
    <w:rsid w:val="003D2400"/>
    <w:rsid w:val="003D2AD6"/>
    <w:rsid w:val="003D7631"/>
    <w:rsid w:val="003D7C3C"/>
    <w:rsid w:val="003E2DB4"/>
    <w:rsid w:val="003E4370"/>
    <w:rsid w:val="003E5939"/>
    <w:rsid w:val="003E6AF7"/>
    <w:rsid w:val="003E7E9B"/>
    <w:rsid w:val="003F062B"/>
    <w:rsid w:val="003F3812"/>
    <w:rsid w:val="003F3F89"/>
    <w:rsid w:val="004033CD"/>
    <w:rsid w:val="0040474C"/>
    <w:rsid w:val="00407E62"/>
    <w:rsid w:val="00411E32"/>
    <w:rsid w:val="00415DA8"/>
    <w:rsid w:val="00423FBA"/>
    <w:rsid w:val="004245B9"/>
    <w:rsid w:val="00435474"/>
    <w:rsid w:val="00436CC3"/>
    <w:rsid w:val="00445D7A"/>
    <w:rsid w:val="0044714A"/>
    <w:rsid w:val="0044730A"/>
    <w:rsid w:val="004545ED"/>
    <w:rsid w:val="00455CAA"/>
    <w:rsid w:val="004646F7"/>
    <w:rsid w:val="00466CCF"/>
    <w:rsid w:val="0047381D"/>
    <w:rsid w:val="0047398D"/>
    <w:rsid w:val="00480A37"/>
    <w:rsid w:val="00482924"/>
    <w:rsid w:val="00490BAF"/>
    <w:rsid w:val="00490FE3"/>
    <w:rsid w:val="00494E31"/>
    <w:rsid w:val="004B4BBB"/>
    <w:rsid w:val="004C578A"/>
    <w:rsid w:val="004C7487"/>
    <w:rsid w:val="004D1072"/>
    <w:rsid w:val="004D4BFE"/>
    <w:rsid w:val="004D7BFF"/>
    <w:rsid w:val="004E1D48"/>
    <w:rsid w:val="004E2398"/>
    <w:rsid w:val="004E44E8"/>
    <w:rsid w:val="004E48F6"/>
    <w:rsid w:val="004E770A"/>
    <w:rsid w:val="004F47E5"/>
    <w:rsid w:val="004F7FB2"/>
    <w:rsid w:val="00501112"/>
    <w:rsid w:val="00502668"/>
    <w:rsid w:val="00505E39"/>
    <w:rsid w:val="005269D0"/>
    <w:rsid w:val="0053127F"/>
    <w:rsid w:val="00533026"/>
    <w:rsid w:val="00537BAA"/>
    <w:rsid w:val="00543DD2"/>
    <w:rsid w:val="00544054"/>
    <w:rsid w:val="005445B5"/>
    <w:rsid w:val="00544845"/>
    <w:rsid w:val="0055106E"/>
    <w:rsid w:val="005521C4"/>
    <w:rsid w:val="0056430F"/>
    <w:rsid w:val="00570AA0"/>
    <w:rsid w:val="005773B8"/>
    <w:rsid w:val="005807AD"/>
    <w:rsid w:val="0058544F"/>
    <w:rsid w:val="00586076"/>
    <w:rsid w:val="00587C0E"/>
    <w:rsid w:val="00595BBB"/>
    <w:rsid w:val="005A418D"/>
    <w:rsid w:val="005A47DA"/>
    <w:rsid w:val="005C1EF0"/>
    <w:rsid w:val="005C6BC3"/>
    <w:rsid w:val="005D653A"/>
    <w:rsid w:val="005E1AB3"/>
    <w:rsid w:val="005E4796"/>
    <w:rsid w:val="005E6BD8"/>
    <w:rsid w:val="005E7A7C"/>
    <w:rsid w:val="00607A60"/>
    <w:rsid w:val="0061076E"/>
    <w:rsid w:val="006134CF"/>
    <w:rsid w:val="006159D4"/>
    <w:rsid w:val="00622510"/>
    <w:rsid w:val="00626B74"/>
    <w:rsid w:val="00627217"/>
    <w:rsid w:val="006302D0"/>
    <w:rsid w:val="00634E46"/>
    <w:rsid w:val="00640E1E"/>
    <w:rsid w:val="0064182D"/>
    <w:rsid w:val="00642DCB"/>
    <w:rsid w:val="00646955"/>
    <w:rsid w:val="00654260"/>
    <w:rsid w:val="006551CA"/>
    <w:rsid w:val="006558EB"/>
    <w:rsid w:val="00657192"/>
    <w:rsid w:val="006576C9"/>
    <w:rsid w:val="00660766"/>
    <w:rsid w:val="00662229"/>
    <w:rsid w:val="00672509"/>
    <w:rsid w:val="0067702A"/>
    <w:rsid w:val="00683177"/>
    <w:rsid w:val="00685C69"/>
    <w:rsid w:val="006A0CC5"/>
    <w:rsid w:val="006B17D1"/>
    <w:rsid w:val="006B1A83"/>
    <w:rsid w:val="006B4976"/>
    <w:rsid w:val="006B4B5C"/>
    <w:rsid w:val="006B6428"/>
    <w:rsid w:val="006C7A13"/>
    <w:rsid w:val="006D4087"/>
    <w:rsid w:val="006D7556"/>
    <w:rsid w:val="006E5124"/>
    <w:rsid w:val="006E7426"/>
    <w:rsid w:val="006F1BFF"/>
    <w:rsid w:val="006F3D31"/>
    <w:rsid w:val="006F54A7"/>
    <w:rsid w:val="006F675C"/>
    <w:rsid w:val="00701765"/>
    <w:rsid w:val="00720824"/>
    <w:rsid w:val="00722EE3"/>
    <w:rsid w:val="007306F0"/>
    <w:rsid w:val="0073684D"/>
    <w:rsid w:val="00740FDA"/>
    <w:rsid w:val="00743A59"/>
    <w:rsid w:val="007457CB"/>
    <w:rsid w:val="007460D4"/>
    <w:rsid w:val="00750414"/>
    <w:rsid w:val="007517BF"/>
    <w:rsid w:val="00756679"/>
    <w:rsid w:val="00763B39"/>
    <w:rsid w:val="00763F3A"/>
    <w:rsid w:val="00777B65"/>
    <w:rsid w:val="00786B74"/>
    <w:rsid w:val="007905C8"/>
    <w:rsid w:val="007A0CDA"/>
    <w:rsid w:val="007A3580"/>
    <w:rsid w:val="007A56C1"/>
    <w:rsid w:val="007A5A4A"/>
    <w:rsid w:val="007A679A"/>
    <w:rsid w:val="007A7CB0"/>
    <w:rsid w:val="007B29C0"/>
    <w:rsid w:val="007C0DDF"/>
    <w:rsid w:val="007C1C0C"/>
    <w:rsid w:val="007C1C25"/>
    <w:rsid w:val="007C222D"/>
    <w:rsid w:val="007C4CA9"/>
    <w:rsid w:val="007D3D52"/>
    <w:rsid w:val="007E1177"/>
    <w:rsid w:val="007E1360"/>
    <w:rsid w:val="007E4321"/>
    <w:rsid w:val="007E5375"/>
    <w:rsid w:val="007F2263"/>
    <w:rsid w:val="008039AC"/>
    <w:rsid w:val="0081326D"/>
    <w:rsid w:val="0081687D"/>
    <w:rsid w:val="00817AFF"/>
    <w:rsid w:val="00820792"/>
    <w:rsid w:val="00823DCA"/>
    <w:rsid w:val="0083166F"/>
    <w:rsid w:val="008317A8"/>
    <w:rsid w:val="00831835"/>
    <w:rsid w:val="00834684"/>
    <w:rsid w:val="00835580"/>
    <w:rsid w:val="00835DE5"/>
    <w:rsid w:val="00835F12"/>
    <w:rsid w:val="008417F3"/>
    <w:rsid w:val="00843210"/>
    <w:rsid w:val="00843405"/>
    <w:rsid w:val="00856593"/>
    <w:rsid w:val="00863E9D"/>
    <w:rsid w:val="00870AC0"/>
    <w:rsid w:val="00870F9F"/>
    <w:rsid w:val="00872483"/>
    <w:rsid w:val="00872AFA"/>
    <w:rsid w:val="00873DCC"/>
    <w:rsid w:val="00892AA0"/>
    <w:rsid w:val="008A1E7F"/>
    <w:rsid w:val="008A3A8D"/>
    <w:rsid w:val="008C0AEB"/>
    <w:rsid w:val="008C4D9C"/>
    <w:rsid w:val="008C5985"/>
    <w:rsid w:val="008E225C"/>
    <w:rsid w:val="008E5A64"/>
    <w:rsid w:val="008F07ED"/>
    <w:rsid w:val="008F3348"/>
    <w:rsid w:val="008F4267"/>
    <w:rsid w:val="008F4F6E"/>
    <w:rsid w:val="008F7E1A"/>
    <w:rsid w:val="00901941"/>
    <w:rsid w:val="0090195E"/>
    <w:rsid w:val="009038F8"/>
    <w:rsid w:val="00904B00"/>
    <w:rsid w:val="00904B19"/>
    <w:rsid w:val="00907275"/>
    <w:rsid w:val="00916CB4"/>
    <w:rsid w:val="00917852"/>
    <w:rsid w:val="009209E0"/>
    <w:rsid w:val="00921D55"/>
    <w:rsid w:val="00935EEE"/>
    <w:rsid w:val="0094354E"/>
    <w:rsid w:val="00946538"/>
    <w:rsid w:val="00946E84"/>
    <w:rsid w:val="009538FA"/>
    <w:rsid w:val="00953C7C"/>
    <w:rsid w:val="00953F57"/>
    <w:rsid w:val="00954F51"/>
    <w:rsid w:val="00956BED"/>
    <w:rsid w:val="009779BC"/>
    <w:rsid w:val="00981B06"/>
    <w:rsid w:val="00985D19"/>
    <w:rsid w:val="00985F3A"/>
    <w:rsid w:val="009872F1"/>
    <w:rsid w:val="00987D9C"/>
    <w:rsid w:val="00992641"/>
    <w:rsid w:val="009A69E5"/>
    <w:rsid w:val="009B012F"/>
    <w:rsid w:val="009B1F60"/>
    <w:rsid w:val="009C7289"/>
    <w:rsid w:val="009D3358"/>
    <w:rsid w:val="009D5F1D"/>
    <w:rsid w:val="009D79B8"/>
    <w:rsid w:val="009E736B"/>
    <w:rsid w:val="009F091C"/>
    <w:rsid w:val="009F585B"/>
    <w:rsid w:val="009F71E7"/>
    <w:rsid w:val="00A01319"/>
    <w:rsid w:val="00A025F5"/>
    <w:rsid w:val="00A02BC9"/>
    <w:rsid w:val="00A07C0F"/>
    <w:rsid w:val="00A14F7A"/>
    <w:rsid w:val="00A15A6D"/>
    <w:rsid w:val="00A163B4"/>
    <w:rsid w:val="00A1759B"/>
    <w:rsid w:val="00A20131"/>
    <w:rsid w:val="00A24044"/>
    <w:rsid w:val="00A248DC"/>
    <w:rsid w:val="00A248E1"/>
    <w:rsid w:val="00A257BE"/>
    <w:rsid w:val="00A2766B"/>
    <w:rsid w:val="00A27A28"/>
    <w:rsid w:val="00A4604F"/>
    <w:rsid w:val="00A471A6"/>
    <w:rsid w:val="00A5016F"/>
    <w:rsid w:val="00A53A4D"/>
    <w:rsid w:val="00A53A7A"/>
    <w:rsid w:val="00A54DC7"/>
    <w:rsid w:val="00A56055"/>
    <w:rsid w:val="00A573BC"/>
    <w:rsid w:val="00A57557"/>
    <w:rsid w:val="00A66925"/>
    <w:rsid w:val="00A77575"/>
    <w:rsid w:val="00A83645"/>
    <w:rsid w:val="00A968DB"/>
    <w:rsid w:val="00A9751A"/>
    <w:rsid w:val="00AA1562"/>
    <w:rsid w:val="00AB02D1"/>
    <w:rsid w:val="00AB12F6"/>
    <w:rsid w:val="00AB2961"/>
    <w:rsid w:val="00AB3BBA"/>
    <w:rsid w:val="00AB3BC7"/>
    <w:rsid w:val="00AB48EC"/>
    <w:rsid w:val="00AB5722"/>
    <w:rsid w:val="00AB7E14"/>
    <w:rsid w:val="00AC1F4D"/>
    <w:rsid w:val="00AC6CF6"/>
    <w:rsid w:val="00AD4894"/>
    <w:rsid w:val="00AD6433"/>
    <w:rsid w:val="00AE03A3"/>
    <w:rsid w:val="00AE223C"/>
    <w:rsid w:val="00AE6699"/>
    <w:rsid w:val="00AF2BA1"/>
    <w:rsid w:val="00AF2F90"/>
    <w:rsid w:val="00AF3E47"/>
    <w:rsid w:val="00AF4334"/>
    <w:rsid w:val="00B03F61"/>
    <w:rsid w:val="00B07E4E"/>
    <w:rsid w:val="00B11305"/>
    <w:rsid w:val="00B117B8"/>
    <w:rsid w:val="00B168E3"/>
    <w:rsid w:val="00B3186F"/>
    <w:rsid w:val="00B34B46"/>
    <w:rsid w:val="00B40B55"/>
    <w:rsid w:val="00B456DA"/>
    <w:rsid w:val="00B458A6"/>
    <w:rsid w:val="00B45BDB"/>
    <w:rsid w:val="00B473F4"/>
    <w:rsid w:val="00B551B3"/>
    <w:rsid w:val="00B55496"/>
    <w:rsid w:val="00B61285"/>
    <w:rsid w:val="00B63D99"/>
    <w:rsid w:val="00B70629"/>
    <w:rsid w:val="00B76FF8"/>
    <w:rsid w:val="00B82CE5"/>
    <w:rsid w:val="00B851CF"/>
    <w:rsid w:val="00B87E6D"/>
    <w:rsid w:val="00B90D50"/>
    <w:rsid w:val="00B921BF"/>
    <w:rsid w:val="00BB124C"/>
    <w:rsid w:val="00BB1360"/>
    <w:rsid w:val="00BB1BDB"/>
    <w:rsid w:val="00BB3CF0"/>
    <w:rsid w:val="00BB4660"/>
    <w:rsid w:val="00BC05F7"/>
    <w:rsid w:val="00BC4C22"/>
    <w:rsid w:val="00BD123E"/>
    <w:rsid w:val="00BD1B4A"/>
    <w:rsid w:val="00BD5596"/>
    <w:rsid w:val="00BE28DC"/>
    <w:rsid w:val="00BE414F"/>
    <w:rsid w:val="00BE4A4C"/>
    <w:rsid w:val="00BE4B7C"/>
    <w:rsid w:val="00BE4C20"/>
    <w:rsid w:val="00BE7601"/>
    <w:rsid w:val="00BF0A6A"/>
    <w:rsid w:val="00C00D4D"/>
    <w:rsid w:val="00C01E37"/>
    <w:rsid w:val="00C04C11"/>
    <w:rsid w:val="00C04CE8"/>
    <w:rsid w:val="00C1220F"/>
    <w:rsid w:val="00C12BE3"/>
    <w:rsid w:val="00C13090"/>
    <w:rsid w:val="00C309CC"/>
    <w:rsid w:val="00C31DD0"/>
    <w:rsid w:val="00C327E7"/>
    <w:rsid w:val="00C35800"/>
    <w:rsid w:val="00C371ED"/>
    <w:rsid w:val="00C41122"/>
    <w:rsid w:val="00C41E84"/>
    <w:rsid w:val="00C4428B"/>
    <w:rsid w:val="00C50775"/>
    <w:rsid w:val="00C578CA"/>
    <w:rsid w:val="00C61F8A"/>
    <w:rsid w:val="00C65593"/>
    <w:rsid w:val="00C7155D"/>
    <w:rsid w:val="00C718D6"/>
    <w:rsid w:val="00C72134"/>
    <w:rsid w:val="00C824AB"/>
    <w:rsid w:val="00C83CC4"/>
    <w:rsid w:val="00C85572"/>
    <w:rsid w:val="00C86EEC"/>
    <w:rsid w:val="00C87AB5"/>
    <w:rsid w:val="00C94CE3"/>
    <w:rsid w:val="00CA1D26"/>
    <w:rsid w:val="00CA4794"/>
    <w:rsid w:val="00CA4D80"/>
    <w:rsid w:val="00CA59FD"/>
    <w:rsid w:val="00CB032D"/>
    <w:rsid w:val="00CB27E8"/>
    <w:rsid w:val="00CC0854"/>
    <w:rsid w:val="00CC0E62"/>
    <w:rsid w:val="00CC42FC"/>
    <w:rsid w:val="00CD5482"/>
    <w:rsid w:val="00CE210D"/>
    <w:rsid w:val="00CE2280"/>
    <w:rsid w:val="00CF0096"/>
    <w:rsid w:val="00CF0147"/>
    <w:rsid w:val="00CF0A68"/>
    <w:rsid w:val="00CF21D5"/>
    <w:rsid w:val="00CF2316"/>
    <w:rsid w:val="00CF7184"/>
    <w:rsid w:val="00D01724"/>
    <w:rsid w:val="00D0356A"/>
    <w:rsid w:val="00D03A38"/>
    <w:rsid w:val="00D04532"/>
    <w:rsid w:val="00D20A89"/>
    <w:rsid w:val="00D22176"/>
    <w:rsid w:val="00D2569F"/>
    <w:rsid w:val="00D27A9E"/>
    <w:rsid w:val="00D27B9E"/>
    <w:rsid w:val="00D30F06"/>
    <w:rsid w:val="00D33B64"/>
    <w:rsid w:val="00D36914"/>
    <w:rsid w:val="00D44430"/>
    <w:rsid w:val="00D4716E"/>
    <w:rsid w:val="00D50874"/>
    <w:rsid w:val="00D52D69"/>
    <w:rsid w:val="00D544CF"/>
    <w:rsid w:val="00D55A7E"/>
    <w:rsid w:val="00D55AAA"/>
    <w:rsid w:val="00D60B18"/>
    <w:rsid w:val="00D6161C"/>
    <w:rsid w:val="00D65046"/>
    <w:rsid w:val="00D6515C"/>
    <w:rsid w:val="00D65381"/>
    <w:rsid w:val="00D66555"/>
    <w:rsid w:val="00D674E8"/>
    <w:rsid w:val="00D73D49"/>
    <w:rsid w:val="00D806A4"/>
    <w:rsid w:val="00D81EF9"/>
    <w:rsid w:val="00D84CFE"/>
    <w:rsid w:val="00D90DCB"/>
    <w:rsid w:val="00D911E0"/>
    <w:rsid w:val="00D918E4"/>
    <w:rsid w:val="00D94C2D"/>
    <w:rsid w:val="00D94E3F"/>
    <w:rsid w:val="00DA1628"/>
    <w:rsid w:val="00DB2619"/>
    <w:rsid w:val="00DB4474"/>
    <w:rsid w:val="00DB6820"/>
    <w:rsid w:val="00DB691E"/>
    <w:rsid w:val="00DC35CD"/>
    <w:rsid w:val="00DD1966"/>
    <w:rsid w:val="00DE0F0B"/>
    <w:rsid w:val="00DE36BD"/>
    <w:rsid w:val="00DF040B"/>
    <w:rsid w:val="00DF0D2B"/>
    <w:rsid w:val="00DF163B"/>
    <w:rsid w:val="00DF3E37"/>
    <w:rsid w:val="00E014E6"/>
    <w:rsid w:val="00E032AE"/>
    <w:rsid w:val="00E046E0"/>
    <w:rsid w:val="00E11274"/>
    <w:rsid w:val="00E153E2"/>
    <w:rsid w:val="00E16F73"/>
    <w:rsid w:val="00E2094A"/>
    <w:rsid w:val="00E229C4"/>
    <w:rsid w:val="00E27B77"/>
    <w:rsid w:val="00E30129"/>
    <w:rsid w:val="00E31D37"/>
    <w:rsid w:val="00E31DF9"/>
    <w:rsid w:val="00E3303A"/>
    <w:rsid w:val="00E371FF"/>
    <w:rsid w:val="00E41F21"/>
    <w:rsid w:val="00E43507"/>
    <w:rsid w:val="00E51D93"/>
    <w:rsid w:val="00E5221B"/>
    <w:rsid w:val="00E53FAC"/>
    <w:rsid w:val="00E55B6C"/>
    <w:rsid w:val="00E57A69"/>
    <w:rsid w:val="00E63F18"/>
    <w:rsid w:val="00E659AD"/>
    <w:rsid w:val="00E66786"/>
    <w:rsid w:val="00E670A2"/>
    <w:rsid w:val="00E70E86"/>
    <w:rsid w:val="00E72947"/>
    <w:rsid w:val="00E75C9D"/>
    <w:rsid w:val="00E83105"/>
    <w:rsid w:val="00E842BE"/>
    <w:rsid w:val="00E84F95"/>
    <w:rsid w:val="00E85EDB"/>
    <w:rsid w:val="00E91A5A"/>
    <w:rsid w:val="00E946F4"/>
    <w:rsid w:val="00EA4CF6"/>
    <w:rsid w:val="00EA5057"/>
    <w:rsid w:val="00EA7270"/>
    <w:rsid w:val="00EB456C"/>
    <w:rsid w:val="00EC28D0"/>
    <w:rsid w:val="00EC2ADD"/>
    <w:rsid w:val="00EC4F5E"/>
    <w:rsid w:val="00EE053C"/>
    <w:rsid w:val="00EE3181"/>
    <w:rsid w:val="00EE3589"/>
    <w:rsid w:val="00EE4398"/>
    <w:rsid w:val="00EE62B5"/>
    <w:rsid w:val="00EE7CDD"/>
    <w:rsid w:val="00EF2A75"/>
    <w:rsid w:val="00EF4EA0"/>
    <w:rsid w:val="00F01856"/>
    <w:rsid w:val="00F01B9A"/>
    <w:rsid w:val="00F0276C"/>
    <w:rsid w:val="00F06B52"/>
    <w:rsid w:val="00F2230C"/>
    <w:rsid w:val="00F249D1"/>
    <w:rsid w:val="00F26489"/>
    <w:rsid w:val="00F31C0F"/>
    <w:rsid w:val="00F35274"/>
    <w:rsid w:val="00F426C2"/>
    <w:rsid w:val="00F44A58"/>
    <w:rsid w:val="00F462D6"/>
    <w:rsid w:val="00F470FE"/>
    <w:rsid w:val="00F53540"/>
    <w:rsid w:val="00F71306"/>
    <w:rsid w:val="00F72772"/>
    <w:rsid w:val="00F729F1"/>
    <w:rsid w:val="00F73F36"/>
    <w:rsid w:val="00F73F60"/>
    <w:rsid w:val="00F742C5"/>
    <w:rsid w:val="00F82172"/>
    <w:rsid w:val="00F85CC0"/>
    <w:rsid w:val="00F93319"/>
    <w:rsid w:val="00F95B1E"/>
    <w:rsid w:val="00FA4F46"/>
    <w:rsid w:val="00FA580C"/>
    <w:rsid w:val="00FA65AB"/>
    <w:rsid w:val="00FB0750"/>
    <w:rsid w:val="00FB283F"/>
    <w:rsid w:val="00FB339E"/>
    <w:rsid w:val="00FB4097"/>
    <w:rsid w:val="00FB4B45"/>
    <w:rsid w:val="00FC1CE3"/>
    <w:rsid w:val="00FC2F9D"/>
    <w:rsid w:val="00FC5520"/>
    <w:rsid w:val="00FD29E8"/>
    <w:rsid w:val="00FD2CB0"/>
    <w:rsid w:val="00FD4187"/>
    <w:rsid w:val="00FD4CA9"/>
    <w:rsid w:val="00FD7B3B"/>
    <w:rsid w:val="00FE0125"/>
    <w:rsid w:val="00FE06BC"/>
    <w:rsid w:val="00FE0AB6"/>
    <w:rsid w:val="00FE0CBF"/>
    <w:rsid w:val="00FF245C"/>
    <w:rsid w:val="0240164F"/>
    <w:rsid w:val="02E42694"/>
    <w:rsid w:val="031B108D"/>
    <w:rsid w:val="042E361B"/>
    <w:rsid w:val="0524499B"/>
    <w:rsid w:val="054B4A3D"/>
    <w:rsid w:val="05CA6CF8"/>
    <w:rsid w:val="064E641E"/>
    <w:rsid w:val="06EE00F0"/>
    <w:rsid w:val="07101F8C"/>
    <w:rsid w:val="093F4A2F"/>
    <w:rsid w:val="0A7A0CC4"/>
    <w:rsid w:val="0FF32182"/>
    <w:rsid w:val="106154D6"/>
    <w:rsid w:val="12641D9A"/>
    <w:rsid w:val="12F11EA5"/>
    <w:rsid w:val="137556DE"/>
    <w:rsid w:val="13C27A5B"/>
    <w:rsid w:val="13DD3D01"/>
    <w:rsid w:val="14F4229A"/>
    <w:rsid w:val="155E6DEA"/>
    <w:rsid w:val="164C211C"/>
    <w:rsid w:val="17AF4551"/>
    <w:rsid w:val="17ED5B66"/>
    <w:rsid w:val="17F958C4"/>
    <w:rsid w:val="187D0F21"/>
    <w:rsid w:val="19384F9A"/>
    <w:rsid w:val="1F864825"/>
    <w:rsid w:val="210D19DF"/>
    <w:rsid w:val="23F84864"/>
    <w:rsid w:val="24932FAF"/>
    <w:rsid w:val="24E27D7E"/>
    <w:rsid w:val="26F5150E"/>
    <w:rsid w:val="291106B2"/>
    <w:rsid w:val="29805E7F"/>
    <w:rsid w:val="2AE40E98"/>
    <w:rsid w:val="30DB1A6F"/>
    <w:rsid w:val="31663759"/>
    <w:rsid w:val="32AE2C6E"/>
    <w:rsid w:val="32BC6697"/>
    <w:rsid w:val="34561221"/>
    <w:rsid w:val="35EB6CC2"/>
    <w:rsid w:val="360932A8"/>
    <w:rsid w:val="369463E4"/>
    <w:rsid w:val="38406896"/>
    <w:rsid w:val="3AF200CA"/>
    <w:rsid w:val="3CD1789A"/>
    <w:rsid w:val="3E652755"/>
    <w:rsid w:val="41317851"/>
    <w:rsid w:val="430130C9"/>
    <w:rsid w:val="44706332"/>
    <w:rsid w:val="447562DB"/>
    <w:rsid w:val="47E659AC"/>
    <w:rsid w:val="49126B49"/>
    <w:rsid w:val="49282014"/>
    <w:rsid w:val="49312326"/>
    <w:rsid w:val="4D4E595C"/>
    <w:rsid w:val="4FFF03CD"/>
    <w:rsid w:val="554E4580"/>
    <w:rsid w:val="5570638D"/>
    <w:rsid w:val="586C108A"/>
    <w:rsid w:val="5AD62B72"/>
    <w:rsid w:val="5B6B6474"/>
    <w:rsid w:val="5DEC0515"/>
    <w:rsid w:val="5EFA4466"/>
    <w:rsid w:val="5F161C6D"/>
    <w:rsid w:val="600B5427"/>
    <w:rsid w:val="601B42CA"/>
    <w:rsid w:val="6134323C"/>
    <w:rsid w:val="616B7207"/>
    <w:rsid w:val="62A93833"/>
    <w:rsid w:val="62C660AC"/>
    <w:rsid w:val="62D23B9F"/>
    <w:rsid w:val="62D819D7"/>
    <w:rsid w:val="638623FF"/>
    <w:rsid w:val="64C27535"/>
    <w:rsid w:val="66BD0BAF"/>
    <w:rsid w:val="6AD830B0"/>
    <w:rsid w:val="6AF970DE"/>
    <w:rsid w:val="6BBB3CCB"/>
    <w:rsid w:val="6C5048A7"/>
    <w:rsid w:val="6E0B1A32"/>
    <w:rsid w:val="6EF24A1D"/>
    <w:rsid w:val="6F0B741E"/>
    <w:rsid w:val="7055771F"/>
    <w:rsid w:val="71846166"/>
    <w:rsid w:val="71E978B7"/>
    <w:rsid w:val="72855D4B"/>
    <w:rsid w:val="73407F8A"/>
    <w:rsid w:val="746E634B"/>
    <w:rsid w:val="75101551"/>
    <w:rsid w:val="75DB4236"/>
    <w:rsid w:val="785F721C"/>
    <w:rsid w:val="790377AB"/>
    <w:rsid w:val="791B7B79"/>
    <w:rsid w:val="7A5C7344"/>
    <w:rsid w:val="7E156598"/>
    <w:rsid w:val="7F670B07"/>
    <w:rsid w:val="7FB22442"/>
    <w:rsid w:val="7FD4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5"/>
    <w:qFormat/>
    <w:uiPriority w:val="0"/>
    <w:pPr>
      <w:jc w:val="left"/>
      <w:outlineLvl w:val="0"/>
    </w:pPr>
    <w:rPr>
      <w:rFonts w:ascii="宋体" w:hAnsi="宋体" w:eastAsia="宋体"/>
      <w:szCs w:val="30"/>
    </w:rPr>
  </w:style>
  <w:style w:type="paragraph" w:styleId="4">
    <w:name w:val="heading 2"/>
    <w:basedOn w:val="1"/>
    <w:next w:val="1"/>
    <w:link w:val="36"/>
    <w:qFormat/>
    <w:uiPriority w:val="0"/>
    <w:pPr>
      <w:keepNext/>
      <w:keepLines/>
      <w:spacing w:before="260" w:after="260" w:line="416" w:lineRule="auto"/>
      <w:outlineLvl w:val="1"/>
    </w:pPr>
    <w:rPr>
      <w:rFonts w:ascii="Cambria" w:hAnsi="Cambria" w:cs="宋体"/>
      <w:b/>
      <w:bCs/>
      <w:sz w:val="32"/>
      <w:szCs w:val="32"/>
    </w:rPr>
  </w:style>
  <w:style w:type="paragraph" w:styleId="5">
    <w:name w:val="heading 3"/>
    <w:basedOn w:val="1"/>
    <w:next w:val="1"/>
    <w:link w:val="37"/>
    <w:qFormat/>
    <w:uiPriority w:val="0"/>
    <w:pPr>
      <w:keepNext/>
      <w:keepLines/>
      <w:spacing w:before="260" w:after="260" w:line="416" w:lineRule="auto"/>
      <w:outlineLvl w:val="2"/>
    </w:pPr>
    <w:rPr>
      <w:rFonts w:ascii="Calibri" w:hAnsi="Calibri" w:cs="宋体"/>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Cambria" w:hAnsi="Cambria" w:cs="宋体"/>
      <w:b/>
      <w:bCs/>
      <w:sz w:val="28"/>
      <w:szCs w:val="28"/>
    </w:rPr>
  </w:style>
  <w:style w:type="paragraph" w:styleId="7">
    <w:name w:val="heading 5"/>
    <w:basedOn w:val="1"/>
    <w:next w:val="1"/>
    <w:link w:val="39"/>
    <w:qFormat/>
    <w:uiPriority w:val="0"/>
    <w:pPr>
      <w:keepNext/>
      <w:keepLines/>
      <w:spacing w:before="280" w:after="290" w:line="376" w:lineRule="auto"/>
      <w:outlineLvl w:val="4"/>
    </w:pPr>
    <w:rPr>
      <w:rFonts w:ascii="Calibri" w:hAnsi="Calibri" w:cs="宋体"/>
      <w:b/>
      <w:bCs/>
      <w:sz w:val="28"/>
      <w:szCs w:val="28"/>
    </w:rPr>
  </w:style>
  <w:style w:type="paragraph" w:styleId="8">
    <w:name w:val="heading 6"/>
    <w:basedOn w:val="1"/>
    <w:next w:val="1"/>
    <w:link w:val="40"/>
    <w:qFormat/>
    <w:uiPriority w:val="0"/>
    <w:pPr>
      <w:keepNext/>
      <w:keepLines/>
      <w:spacing w:before="240" w:after="64" w:line="320" w:lineRule="auto"/>
      <w:outlineLvl w:val="5"/>
    </w:pPr>
    <w:rPr>
      <w:rFonts w:ascii="Cambria" w:hAnsi="Cambria" w:cs="宋体"/>
      <w:b/>
      <w:bCs/>
      <w:sz w:val="24"/>
      <w:szCs w:val="22"/>
    </w:rPr>
  </w:style>
  <w:style w:type="character" w:default="1" w:styleId="23">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Subtitle"/>
    <w:basedOn w:val="1"/>
    <w:next w:val="1"/>
    <w:link w:val="42"/>
    <w:qFormat/>
    <w:uiPriority w:val="0"/>
    <w:pPr>
      <w:spacing w:before="240" w:after="60" w:line="312" w:lineRule="auto"/>
      <w:jc w:val="center"/>
      <w:outlineLvl w:val="1"/>
    </w:pPr>
    <w:rPr>
      <w:rFonts w:ascii="Cambria" w:hAnsi="Cambria" w:eastAsia="仿宋_GB2312" w:cs="宋体"/>
      <w:bCs/>
      <w:kern w:val="28"/>
      <w:sz w:val="30"/>
      <w:szCs w:val="32"/>
    </w:rPr>
  </w:style>
  <w:style w:type="paragraph" w:styleId="9">
    <w:name w:val="annotation text"/>
    <w:basedOn w:val="1"/>
    <w:link w:val="44"/>
    <w:semiHidden/>
    <w:unhideWhenUsed/>
    <w:qFormat/>
    <w:uiPriority w:val="99"/>
    <w:pPr>
      <w:jc w:val="left"/>
    </w:pPr>
  </w:style>
  <w:style w:type="paragraph" w:styleId="10">
    <w:name w:val="toc 3"/>
    <w:basedOn w:val="1"/>
    <w:next w:val="1"/>
    <w:qFormat/>
    <w:uiPriority w:val="39"/>
    <w:pPr>
      <w:widowControl/>
      <w:spacing w:after="100" w:line="276" w:lineRule="auto"/>
      <w:ind w:left="440"/>
      <w:jc w:val="left"/>
    </w:pPr>
    <w:rPr>
      <w:rFonts w:ascii="Calibri" w:hAnsi="Calibri" w:cs="宋体"/>
      <w:kern w:val="0"/>
      <w:sz w:val="22"/>
      <w:szCs w:val="22"/>
    </w:rPr>
  </w:style>
  <w:style w:type="paragraph" w:styleId="11">
    <w:name w:val="Date"/>
    <w:basedOn w:val="1"/>
    <w:next w:val="1"/>
    <w:link w:val="31"/>
    <w:qFormat/>
    <w:uiPriority w:val="0"/>
    <w:pPr>
      <w:ind w:left="100" w:leftChars="2500"/>
    </w:pPr>
    <w:rPr>
      <w:rFonts w:ascii="Calibri" w:hAnsi="Calibri" w:cs="宋体"/>
      <w:szCs w:val="22"/>
    </w:rPr>
  </w:style>
  <w:style w:type="paragraph" w:styleId="12">
    <w:name w:val="Balloon Text"/>
    <w:basedOn w:val="1"/>
    <w:link w:val="33"/>
    <w:qFormat/>
    <w:uiPriority w:val="0"/>
    <w:rPr>
      <w:rFonts w:ascii="Calibri" w:hAnsi="Calibri" w:cs="宋体"/>
      <w:sz w:val="18"/>
      <w:szCs w:val="18"/>
    </w:rPr>
  </w:style>
  <w:style w:type="paragraph" w:styleId="13">
    <w:name w:val="footer"/>
    <w:basedOn w:val="1"/>
    <w:link w:val="30"/>
    <w:qFormat/>
    <w:uiPriority w:val="99"/>
    <w:pPr>
      <w:tabs>
        <w:tab w:val="center" w:pos="4153"/>
        <w:tab w:val="right" w:pos="8306"/>
      </w:tabs>
      <w:snapToGrid w:val="0"/>
      <w:jc w:val="left"/>
    </w:pPr>
    <w:rPr>
      <w:rFonts w:ascii="Calibri" w:hAnsi="Calibri" w:cs="宋体"/>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rFonts w:ascii="Calibri" w:hAnsi="Calibri" w:cs="宋体"/>
      <w:sz w:val="18"/>
      <w:szCs w:val="18"/>
    </w:rPr>
  </w:style>
  <w:style w:type="paragraph" w:styleId="15">
    <w:name w:val="toc 1"/>
    <w:basedOn w:val="1"/>
    <w:next w:val="1"/>
    <w:qFormat/>
    <w:uiPriority w:val="39"/>
    <w:rPr>
      <w:rFonts w:ascii="Calibri" w:hAnsi="Calibri" w:cs="宋体"/>
      <w:sz w:val="32"/>
      <w:szCs w:val="22"/>
    </w:rPr>
  </w:style>
  <w:style w:type="paragraph" w:styleId="16">
    <w:name w:val="footnote text"/>
    <w:basedOn w:val="1"/>
    <w:link w:val="43"/>
    <w:semiHidden/>
    <w:unhideWhenUsed/>
    <w:qFormat/>
    <w:uiPriority w:val="99"/>
    <w:pPr>
      <w:snapToGrid w:val="0"/>
      <w:jc w:val="left"/>
    </w:pPr>
    <w:rPr>
      <w:sz w:val="18"/>
      <w:szCs w:val="18"/>
    </w:rPr>
  </w:style>
  <w:style w:type="paragraph" w:styleId="17">
    <w:name w:val="toc 2"/>
    <w:basedOn w:val="1"/>
    <w:next w:val="1"/>
    <w:qFormat/>
    <w:uiPriority w:val="39"/>
    <w:pPr>
      <w:ind w:left="420" w:leftChars="200"/>
    </w:pPr>
    <w:rPr>
      <w:rFonts w:ascii="Calibri" w:hAnsi="Calibri" w:cs="宋体"/>
      <w:sz w:val="28"/>
      <w:szCs w:val="22"/>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2"/>
    </w:rPr>
  </w:style>
  <w:style w:type="paragraph" w:styleId="19">
    <w:name w:val="Title"/>
    <w:basedOn w:val="1"/>
    <w:next w:val="1"/>
    <w:link w:val="41"/>
    <w:qFormat/>
    <w:uiPriority w:val="0"/>
    <w:pPr>
      <w:spacing w:before="240" w:after="60"/>
      <w:jc w:val="left"/>
      <w:outlineLvl w:val="0"/>
    </w:pPr>
    <w:rPr>
      <w:rFonts w:ascii="Cambria" w:hAnsi="Cambria" w:cs="宋体"/>
      <w:bCs/>
      <w:sz w:val="30"/>
      <w:szCs w:val="32"/>
    </w:rPr>
  </w:style>
  <w:style w:type="table" w:styleId="21">
    <w:name w:val="Table Grid"/>
    <w:basedOn w:val="20"/>
    <w:qFormat/>
    <w:uiPriority w:val="59"/>
    <w:rPr>
      <w:rFonts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2">
    <w:name w:val="Light Shading Accent 5"/>
    <w:basedOn w:val="20"/>
    <w:qFormat/>
    <w:uiPriority w:val="0"/>
    <w:rPr>
      <w:rFonts w:cs="宋体"/>
      <w:color w:val="31849B"/>
      <w:kern w:val="2"/>
      <w:sz w:val="21"/>
      <w:szCs w:val="22"/>
    </w:rPr>
    <w:tblPr>
      <w:tblBorders>
        <w:top w:val="single" w:color="4BACC6" w:sz="8" w:space="0"/>
        <w:bottom w:val="single" w:color="4BACC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character" w:styleId="24">
    <w:name w:val="page number"/>
    <w:basedOn w:val="23"/>
    <w:qFormat/>
    <w:uiPriority w:val="0"/>
    <w:rPr>
      <w:rFonts w:ascii="Calibri" w:hAnsi="Calibri" w:eastAsia="宋体" w:cs="宋体"/>
      <w:kern w:val="2"/>
      <w:sz w:val="21"/>
      <w:szCs w:val="22"/>
      <w:lang w:val="en-US" w:eastAsia="zh-CN" w:bidi="ar-SA"/>
    </w:rPr>
  </w:style>
  <w:style w:type="character" w:styleId="25">
    <w:name w:val="Hyperlink"/>
    <w:qFormat/>
    <w:uiPriority w:val="99"/>
    <w:rPr>
      <w:rFonts w:ascii="Calibri" w:hAnsi="Calibri" w:eastAsia="宋体" w:cs="宋体"/>
      <w:color w:val="0000FF"/>
      <w:kern w:val="2"/>
      <w:sz w:val="21"/>
      <w:szCs w:val="22"/>
      <w:u w:val="single"/>
      <w:lang w:val="en-US" w:eastAsia="zh-CN" w:bidi="ar-SA"/>
    </w:rPr>
  </w:style>
  <w:style w:type="character" w:styleId="26">
    <w:name w:val="annotation reference"/>
    <w:semiHidden/>
    <w:unhideWhenUsed/>
    <w:qFormat/>
    <w:uiPriority w:val="99"/>
    <w:rPr>
      <w:rFonts w:ascii="Calibri" w:hAnsi="Calibri" w:eastAsia="宋体" w:cs="宋体"/>
      <w:kern w:val="2"/>
      <w:sz w:val="21"/>
      <w:szCs w:val="21"/>
      <w:lang w:val="en-US" w:eastAsia="zh-CN" w:bidi="ar-SA"/>
    </w:rPr>
  </w:style>
  <w:style w:type="character" w:styleId="27">
    <w:name w:val="footnote reference"/>
    <w:semiHidden/>
    <w:unhideWhenUsed/>
    <w:qFormat/>
    <w:uiPriority w:val="99"/>
    <w:rPr>
      <w:rFonts w:ascii="Calibri" w:hAnsi="Calibri" w:eastAsia="宋体" w:cs="宋体"/>
      <w:kern w:val="2"/>
      <w:sz w:val="21"/>
      <w:szCs w:val="22"/>
      <w:vertAlign w:val="superscript"/>
      <w:lang w:val="en-US" w:eastAsia="zh-CN" w:bidi="ar-SA"/>
    </w:rPr>
  </w:style>
  <w:style w:type="paragraph" w:customStyle="1" w:styleId="28">
    <w:name w:val="_Style 27"/>
    <w:basedOn w:val="2"/>
    <w:next w:val="1"/>
    <w:qFormat/>
    <w:uiPriority w:val="0"/>
    <w:pPr>
      <w:widowControl/>
      <w:spacing w:before="480" w:after="0" w:line="276" w:lineRule="auto"/>
      <w:outlineLvl w:val="9"/>
    </w:pPr>
    <w:rPr>
      <w:rFonts w:ascii="Cambria" w:hAnsi="Cambria"/>
      <w:color w:val="365F91"/>
      <w:kern w:val="0"/>
      <w:sz w:val="28"/>
      <w:szCs w:val="28"/>
    </w:rPr>
  </w:style>
  <w:style w:type="paragraph" w:styleId="2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页脚 Char"/>
    <w:link w:val="13"/>
    <w:qFormat/>
    <w:uiPriority w:val="99"/>
    <w:rPr>
      <w:rFonts w:ascii="Times New Roman" w:hAnsi="Times New Roman" w:eastAsia="宋体" w:cs="Times New Roman"/>
      <w:kern w:val="2"/>
      <w:sz w:val="18"/>
      <w:szCs w:val="18"/>
      <w:lang w:val="en-US" w:eastAsia="zh-CN" w:bidi="ar-SA"/>
    </w:rPr>
  </w:style>
  <w:style w:type="character" w:customStyle="1" w:styleId="31">
    <w:name w:val="日期 Char"/>
    <w:link w:val="11"/>
    <w:qFormat/>
    <w:uiPriority w:val="0"/>
    <w:rPr>
      <w:rFonts w:ascii="Times New Roman" w:hAnsi="Times New Roman" w:eastAsia="宋体" w:cs="Times New Roman"/>
      <w:kern w:val="2"/>
      <w:sz w:val="21"/>
      <w:szCs w:val="24"/>
      <w:lang w:val="en-US" w:eastAsia="zh-CN" w:bidi="ar-SA"/>
    </w:rPr>
  </w:style>
  <w:style w:type="character" w:customStyle="1" w:styleId="32">
    <w:name w:val="页眉 Char"/>
    <w:link w:val="14"/>
    <w:qFormat/>
    <w:uiPriority w:val="0"/>
    <w:rPr>
      <w:rFonts w:ascii="Times New Roman" w:hAnsi="Times New Roman" w:eastAsia="宋体" w:cs="Times New Roman"/>
      <w:kern w:val="2"/>
      <w:sz w:val="18"/>
      <w:szCs w:val="18"/>
      <w:lang w:val="en-US" w:eastAsia="zh-CN" w:bidi="ar-SA"/>
    </w:rPr>
  </w:style>
  <w:style w:type="character" w:customStyle="1" w:styleId="33">
    <w:name w:val="批注框文本 Char"/>
    <w:link w:val="12"/>
    <w:qFormat/>
    <w:uiPriority w:val="0"/>
    <w:rPr>
      <w:rFonts w:ascii="Times New Roman" w:hAnsi="Times New Roman" w:eastAsia="宋体" w:cs="Times New Roman"/>
      <w:kern w:val="2"/>
      <w:sz w:val="18"/>
      <w:szCs w:val="18"/>
      <w:lang w:val="en-US" w:eastAsia="zh-CN" w:bidi="ar-SA"/>
    </w:rPr>
  </w:style>
  <w:style w:type="character" w:customStyle="1" w:styleId="34">
    <w:name w:val="apple-style-span"/>
    <w:qFormat/>
    <w:uiPriority w:val="99"/>
    <w:rPr>
      <w:rFonts w:ascii="Calibri" w:hAnsi="Calibri" w:eastAsia="宋体" w:cs="Times New Roman"/>
      <w:kern w:val="2"/>
      <w:sz w:val="21"/>
      <w:szCs w:val="22"/>
      <w:lang w:val="en-US" w:eastAsia="zh-CN" w:bidi="ar-SA"/>
    </w:rPr>
  </w:style>
  <w:style w:type="character" w:customStyle="1" w:styleId="35">
    <w:name w:val="标题 1 Char"/>
    <w:link w:val="2"/>
    <w:qFormat/>
    <w:uiPriority w:val="0"/>
    <w:rPr>
      <w:rFonts w:ascii="宋体" w:hAnsi="宋体" w:eastAsia="宋体" w:cs="宋体"/>
      <w:bCs/>
      <w:kern w:val="28"/>
      <w:sz w:val="30"/>
      <w:szCs w:val="30"/>
    </w:rPr>
  </w:style>
  <w:style w:type="character" w:customStyle="1" w:styleId="36">
    <w:name w:val="标题 2 Char"/>
    <w:link w:val="4"/>
    <w:qFormat/>
    <w:uiPriority w:val="0"/>
    <w:rPr>
      <w:rFonts w:ascii="Cambria" w:hAnsi="Cambria" w:eastAsia="宋体" w:cs="宋体"/>
      <w:b/>
      <w:bCs/>
      <w:kern w:val="2"/>
      <w:sz w:val="32"/>
      <w:szCs w:val="32"/>
      <w:lang w:val="en-US" w:eastAsia="zh-CN" w:bidi="ar-SA"/>
    </w:rPr>
  </w:style>
  <w:style w:type="character" w:customStyle="1" w:styleId="37">
    <w:name w:val="标题 3 Char"/>
    <w:link w:val="5"/>
    <w:qFormat/>
    <w:uiPriority w:val="0"/>
    <w:rPr>
      <w:rFonts w:ascii="Times New Roman" w:hAnsi="Times New Roman" w:eastAsia="宋体" w:cs="Times New Roman"/>
      <w:b/>
      <w:bCs/>
      <w:kern w:val="2"/>
      <w:sz w:val="32"/>
      <w:szCs w:val="32"/>
      <w:lang w:val="en-US" w:eastAsia="zh-CN" w:bidi="ar-SA"/>
    </w:rPr>
  </w:style>
  <w:style w:type="character" w:customStyle="1" w:styleId="38">
    <w:name w:val="标题 4 Char"/>
    <w:link w:val="6"/>
    <w:qFormat/>
    <w:uiPriority w:val="0"/>
    <w:rPr>
      <w:rFonts w:ascii="Cambria" w:hAnsi="Cambria" w:eastAsia="宋体" w:cs="宋体"/>
      <w:b/>
      <w:bCs/>
      <w:kern w:val="2"/>
      <w:sz w:val="28"/>
      <w:szCs w:val="28"/>
      <w:lang w:val="en-US" w:eastAsia="zh-CN" w:bidi="ar-SA"/>
    </w:rPr>
  </w:style>
  <w:style w:type="character" w:customStyle="1" w:styleId="39">
    <w:name w:val="标题 5 Char"/>
    <w:link w:val="7"/>
    <w:qFormat/>
    <w:uiPriority w:val="0"/>
    <w:rPr>
      <w:rFonts w:ascii="Times New Roman" w:hAnsi="Times New Roman" w:eastAsia="宋体" w:cs="Times New Roman"/>
      <w:b/>
      <w:bCs/>
      <w:kern w:val="2"/>
      <w:sz w:val="28"/>
      <w:szCs w:val="28"/>
      <w:lang w:val="en-US" w:eastAsia="zh-CN" w:bidi="ar-SA"/>
    </w:rPr>
  </w:style>
  <w:style w:type="character" w:customStyle="1" w:styleId="40">
    <w:name w:val="标题 6 Char"/>
    <w:link w:val="8"/>
    <w:qFormat/>
    <w:uiPriority w:val="0"/>
    <w:rPr>
      <w:rFonts w:ascii="Cambria" w:hAnsi="Cambria" w:eastAsia="宋体" w:cs="宋体"/>
      <w:b/>
      <w:bCs/>
      <w:kern w:val="2"/>
      <w:sz w:val="24"/>
      <w:szCs w:val="24"/>
      <w:lang w:val="en-US" w:eastAsia="zh-CN" w:bidi="ar-SA"/>
    </w:rPr>
  </w:style>
  <w:style w:type="character" w:customStyle="1" w:styleId="41">
    <w:name w:val="标题 Char"/>
    <w:link w:val="19"/>
    <w:qFormat/>
    <w:uiPriority w:val="0"/>
    <w:rPr>
      <w:rFonts w:ascii="Cambria" w:hAnsi="Cambria" w:cs="宋体"/>
      <w:bCs/>
      <w:kern w:val="2"/>
      <w:sz w:val="30"/>
      <w:szCs w:val="32"/>
    </w:rPr>
  </w:style>
  <w:style w:type="character" w:customStyle="1" w:styleId="42">
    <w:name w:val="副标题 Char"/>
    <w:link w:val="3"/>
    <w:qFormat/>
    <w:uiPriority w:val="0"/>
    <w:rPr>
      <w:rFonts w:ascii="Cambria" w:hAnsi="Cambria" w:eastAsia="仿宋_GB2312" w:cs="宋体"/>
      <w:bCs/>
      <w:kern w:val="28"/>
      <w:sz w:val="30"/>
      <w:szCs w:val="32"/>
      <w:lang w:val="en-US" w:eastAsia="zh-CN" w:bidi="ar-SA"/>
    </w:rPr>
  </w:style>
  <w:style w:type="character" w:customStyle="1" w:styleId="43">
    <w:name w:val="脚注文本 Char"/>
    <w:link w:val="16"/>
    <w:semiHidden/>
    <w:qFormat/>
    <w:uiPriority w:val="99"/>
    <w:rPr>
      <w:rFonts w:ascii="Times New Roman" w:hAnsi="Times New Roman" w:eastAsia="宋体" w:cs="Times New Roman"/>
      <w:kern w:val="2"/>
      <w:sz w:val="18"/>
      <w:szCs w:val="18"/>
      <w:lang w:val="en-US" w:eastAsia="zh-CN" w:bidi="ar-SA"/>
    </w:rPr>
  </w:style>
  <w:style w:type="character" w:customStyle="1" w:styleId="44">
    <w:name w:val="批注文字 Char"/>
    <w:link w:val="9"/>
    <w:semiHidden/>
    <w:qFormat/>
    <w:uiPriority w:val="99"/>
    <w:rPr>
      <w:rFonts w:ascii="Times New Roman" w:hAnsi="Times New Roman" w:eastAsia="宋体" w:cs="Times New Roman"/>
      <w:kern w:val="2"/>
      <w:sz w:val="21"/>
      <w:szCs w:val="24"/>
      <w:lang w:val="en-US" w:eastAsia="zh-CN" w:bidi="ar-SA"/>
    </w:rPr>
  </w:style>
  <w:style w:type="paragraph" w:customStyle="1" w:styleId="45">
    <w:name w:val="TOC Heading"/>
    <w:basedOn w:val="2"/>
    <w:next w:val="1"/>
    <w:unhideWhenUsed/>
    <w:qFormat/>
    <w:uiPriority w:val="39"/>
    <w:pPr>
      <w:keepNext/>
      <w:keepLines/>
      <w:widowControl/>
      <w:spacing w:before="480" w:after="0" w:line="276" w:lineRule="auto"/>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46F93-C3F7-4BBA-8E26-BB4B039072AD}">
  <ds:schemaRefs/>
</ds:datastoreItem>
</file>

<file path=docProps/app.xml><?xml version="1.0" encoding="utf-8"?>
<Properties xmlns="http://schemas.openxmlformats.org/officeDocument/2006/extended-properties" xmlns:vt="http://schemas.openxmlformats.org/officeDocument/2006/docPropsVTypes">
  <Template>Normal</Template>
  <Pages>40</Pages>
  <Words>4021</Words>
  <Characters>22923</Characters>
  <Lines>191</Lines>
  <Paragraphs>53</Paragraphs>
  <TotalTime>6</TotalTime>
  <ScaleCrop>false</ScaleCrop>
  <LinksUpToDate>false</LinksUpToDate>
  <CharactersWithSpaces>26891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2020-04-24T05:46:00Z</dcterms:created>
  <dc:creator>xhqh</dc:creator>
  <cp:lastModifiedBy>靜^^</cp:lastModifiedBy>
  <cp:lastPrinted>2021-04-30T08:34:56Z</cp:lastPrinted>
  <dcterms:modified xsi:type="dcterms:W3CDTF">2021-04-30T08:35:11Z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919F5A624ECC4C6399559DD4A56EE67A</vt:lpwstr>
  </property>
</Properties>
</file>