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outlineLvl w:val="0"/>
        <w:rPr>
          <w:rFonts w:hint="eastAsia" w:ascii="黑体" w:hAnsi="黑体" w:eastAsia="黑体" w:cs="黑体"/>
          <w:sz w:val="32"/>
          <w:szCs w:val="32"/>
          <w:lang w:val="en-US" w:eastAsia="zh-CN"/>
        </w:rPr>
      </w:pPr>
    </w:p>
    <w:p>
      <w:pPr>
        <w:ind w:left="0" w:leftChars="0" w:firstLine="0" w:firstLineChars="0"/>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《股东来了》</w:t>
      </w:r>
      <w:r>
        <w:rPr>
          <w:rFonts w:hint="eastAsia" w:ascii="方正小标宋简体" w:hAnsi="方正小标宋简体" w:eastAsia="方正小标宋简体" w:cs="方正小标宋简体"/>
          <w:sz w:val="44"/>
          <w:szCs w:val="44"/>
          <w:lang w:val="en-US" w:eastAsia="zh-CN"/>
        </w:rPr>
        <w:t>2022投资者权益知识</w:t>
      </w:r>
    </w:p>
    <w:p>
      <w:pPr>
        <w:ind w:left="0" w:leftChars="0" w:firstLine="0" w:firstLineChars="0"/>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竞赛总体方案</w:t>
      </w:r>
    </w:p>
    <w:p>
      <w:pPr>
        <w:ind w:left="0" w:leftChars="0" w:firstLine="0" w:firstLineChars="0"/>
        <w:jc w:val="both"/>
        <w:rPr>
          <w:rFonts w:hint="eastAsia" w:ascii="方正仿宋简体" w:hAnsi="方正仿宋简体" w:eastAsia="方正仿宋简体" w:cs="方正仿宋简体"/>
          <w:sz w:val="32"/>
          <w:szCs w:val="32"/>
          <w:lang w:val="en-US" w:eastAsia="zh-CN"/>
        </w:rPr>
      </w:pPr>
    </w:p>
    <w:p>
      <w:pPr>
        <w:ind w:left="0" w:leftChars="0" w:firstLine="640" w:firstLineChars="0"/>
        <w:jc w:val="both"/>
        <w:rPr>
          <w:rFonts w:hint="eastAsia" w:ascii="仿宋" w:hAnsi="仿宋" w:cs="仿宋"/>
          <w:lang w:val="en-US" w:eastAsia="zh-CN"/>
        </w:rPr>
      </w:pPr>
      <w:r>
        <w:rPr>
          <w:rFonts w:hint="eastAsia" w:ascii="方正仿宋简体" w:hAnsi="方正仿宋简体" w:eastAsia="方正仿宋简体" w:cs="方正仿宋简体"/>
          <w:sz w:val="32"/>
          <w:szCs w:val="32"/>
          <w:lang w:val="en-US" w:eastAsia="zh-CN"/>
        </w:rPr>
        <w:t>为进一步落实证监会党委关于资本市场人民性要求</w:t>
      </w:r>
      <w:r>
        <w:rPr>
          <w:rFonts w:hint="eastAsia" w:ascii="仿宋" w:hAnsi="仿宋" w:eastAsia="仿宋" w:cs="仿宋"/>
          <w:lang w:eastAsia="zh-CN"/>
        </w:rPr>
        <w:t>和保护投资者合法权益的职责，在会办公厅、投保局指导下，投服中心</w:t>
      </w:r>
      <w:r>
        <w:rPr>
          <w:rFonts w:hint="eastAsia" w:ascii="仿宋" w:hAnsi="仿宋" w:cs="仿宋"/>
          <w:lang w:eastAsia="zh-CN"/>
        </w:rPr>
        <w:t>拟</w:t>
      </w:r>
      <w:r>
        <w:rPr>
          <w:rFonts w:hint="eastAsia" w:ascii="仿宋" w:hAnsi="仿宋" w:eastAsia="仿宋" w:cs="仿宋"/>
          <w:lang w:eastAsia="zh-CN"/>
        </w:rPr>
        <w:t>联合</w:t>
      </w:r>
      <w:r>
        <w:rPr>
          <w:rFonts w:hint="eastAsia" w:ascii="仿宋" w:hAnsi="仿宋" w:cs="仿宋"/>
          <w:lang w:eastAsia="zh-CN"/>
        </w:rPr>
        <w:t>深圳、重庆、山西、贵州四证监局携手芒果超媒共同举办《股东来了》</w:t>
      </w:r>
      <w:r>
        <w:rPr>
          <w:rFonts w:hint="eastAsia" w:ascii="仿宋" w:hAnsi="仿宋" w:cs="仿宋"/>
          <w:lang w:val="en-US" w:eastAsia="zh-CN"/>
        </w:rPr>
        <w:t>2022投资者权益知识竞赛（以下简称《股东来了》2022），面向广大中小投资者普及权益知识，引导投资者全面知权、积极行权、依法维权。</w:t>
      </w:r>
    </w:p>
    <w:p>
      <w:pPr>
        <w:ind w:left="0" w:leftChars="0" w:firstLine="640" w:firstLineChars="0"/>
        <w:jc w:val="both"/>
        <w:rPr>
          <w:rFonts w:hint="eastAsia" w:ascii="仿宋" w:hAnsi="仿宋" w:cs="仿宋"/>
          <w:lang w:val="en-US" w:eastAsia="zh-CN"/>
        </w:rPr>
      </w:pPr>
      <w:r>
        <w:rPr>
          <w:rFonts w:hint="eastAsia" w:ascii="仿宋" w:hAnsi="仿宋" w:cs="仿宋"/>
          <w:lang w:val="en-US" w:eastAsia="zh-CN"/>
        </w:rPr>
        <w:t>《股东来了》2022将在全国设立深圳、重庆、山西、贵州四大片区，覆盖全国36个赛区及港澳台地区。活动分为网络初赛与电视决赛两个阶段，网络初赛将于5月中旬启动，持续开展6周线上答题；电视决赛拟于8月中旬录制，计划于9月在湖南卫视、芒果TV双平台播出。今年，《股东来了》还将首次开设短视频大赛，</w:t>
      </w:r>
      <w:r>
        <w:rPr>
          <w:rFonts w:hint="eastAsia" w:ascii="仿宋" w:hAnsi="仿宋" w:cs="仿宋"/>
          <w:b w:val="0"/>
          <w:bCs w:val="0"/>
          <w:lang w:val="en-US" w:eastAsia="zh-CN"/>
        </w:rPr>
        <w:t>以“你好，</w:t>
      </w:r>
      <w:bookmarkStart w:id="0" w:name="_GoBack"/>
      <w:bookmarkEnd w:id="0"/>
      <w:r>
        <w:rPr>
          <w:rFonts w:hint="eastAsia" w:ascii="仿宋" w:hAnsi="仿宋" w:cs="仿宋"/>
          <w:b w:val="0"/>
          <w:bCs w:val="0"/>
          <w:lang w:val="en-US" w:eastAsia="zh-CN"/>
        </w:rPr>
        <w:t>注册制！”</w:t>
      </w:r>
      <w:r>
        <w:rPr>
          <w:rFonts w:hint="eastAsia" w:ascii="仿宋" w:hAnsi="仿宋" w:cs="仿宋"/>
          <w:lang w:val="en-US" w:eastAsia="zh-CN"/>
        </w:rPr>
        <w:t>为主题面向社会广泛征集原创投教短视频。</w:t>
      </w:r>
    </w:p>
    <w:p>
      <w:pPr>
        <w:keepNext w:val="0"/>
        <w:keepLines w:val="0"/>
        <w:pageBreakBefore w:val="0"/>
        <w:widowControl w:val="0"/>
        <w:kinsoku/>
        <w:wordWrap/>
        <w:overflowPunct w:val="0"/>
        <w:topLinePunct w:val="0"/>
        <w:bidi w:val="0"/>
        <w:adjustRightInd/>
        <w:snapToGrid/>
        <w:spacing w:line="600" w:lineRule="exact"/>
        <w:ind w:firstLine="640"/>
        <w:textAlignment w:val="auto"/>
        <w:rPr>
          <w:rFonts w:hint="default" w:ascii="Times New Roman" w:hAnsi="Times New Roman" w:eastAsia="黑体" w:cs="Times New Roman"/>
          <w:kern w:val="44"/>
          <w:sz w:val="32"/>
          <w:szCs w:val="24"/>
          <w:lang w:eastAsia="zh-CN" w:bidi="ar-SA"/>
        </w:rPr>
      </w:pPr>
      <w:r>
        <w:rPr>
          <w:rFonts w:hint="eastAsia" w:ascii="Times New Roman" w:hAnsi="Times New Roman" w:eastAsia="黑体" w:cs="Times New Roman"/>
          <w:kern w:val="44"/>
          <w:sz w:val="32"/>
          <w:szCs w:val="24"/>
          <w:lang w:eastAsia="zh-CN" w:bidi="ar-SA"/>
        </w:rPr>
        <w:t>一</w:t>
      </w:r>
      <w:r>
        <w:rPr>
          <w:rFonts w:hint="default" w:ascii="Times New Roman" w:hAnsi="Times New Roman" w:eastAsia="黑体" w:cs="Times New Roman"/>
          <w:kern w:val="44"/>
          <w:sz w:val="32"/>
          <w:szCs w:val="24"/>
          <w:lang w:eastAsia="zh-CN" w:bidi="ar-SA"/>
        </w:rPr>
        <w:t>、活动内容</w:t>
      </w:r>
    </w:p>
    <w:p>
      <w:pPr>
        <w:keepNext w:val="0"/>
        <w:keepLines w:val="0"/>
        <w:pageBreakBefore w:val="0"/>
        <w:widowControl w:val="0"/>
        <w:kinsoku/>
        <w:wordWrap/>
        <w:overflowPunct w:val="0"/>
        <w:topLinePunct w:val="0"/>
        <w:bidi w:val="0"/>
        <w:adjustRightInd/>
        <w:snapToGrid/>
        <w:spacing w:line="600" w:lineRule="exact"/>
        <w:ind w:firstLine="640"/>
        <w:textAlignment w:val="auto"/>
        <w:rPr>
          <w:rFonts w:hint="eastAsia" w:ascii="仿宋" w:hAnsi="仿宋" w:cs="仿宋"/>
          <w:lang w:val="en-US" w:eastAsia="zh-CN"/>
        </w:rPr>
      </w:pPr>
      <w:r>
        <w:rPr>
          <w:rFonts w:hint="eastAsia" w:ascii="仿宋" w:hAnsi="仿宋" w:cs="仿宋"/>
          <w:lang w:val="en-US" w:eastAsia="zh-CN"/>
        </w:rPr>
        <w:t>《股东来了》2022围绕注册制开展宣传和普及工作，包括注册制下特别代表人诉讼等投资者保护创新机制、上市公司信息披露知识等重点内容，帮助中小投资者理解以信息披露为核心的注册制，提高阅读使用信息披露文件的能力，助力</w:t>
      </w:r>
      <w:r>
        <w:rPr>
          <w:rFonts w:hint="eastAsia" w:ascii="仿宋" w:hAnsi="仿宋" w:cs="仿宋"/>
          <w:sz w:val="32"/>
          <w:szCs w:val="32"/>
          <w:lang w:val="en-US" w:eastAsia="zh-CN"/>
        </w:rPr>
        <w:t>培育与中国特色现代资本市场发展目标相适应的投资者队伍</w:t>
      </w:r>
      <w:r>
        <w:rPr>
          <w:rFonts w:hint="eastAsia" w:ascii="仿宋" w:hAnsi="仿宋" w:cs="仿宋"/>
          <w:lang w:val="en-US" w:eastAsia="zh-CN"/>
        </w:rPr>
        <w:t>。</w:t>
      </w:r>
    </w:p>
    <w:p>
      <w:pPr>
        <w:pStyle w:val="2"/>
        <w:keepNext w:val="0"/>
        <w:keepLines w:val="0"/>
        <w:pageBreakBefore w:val="0"/>
        <w:widowControl w:val="0"/>
        <w:kinsoku/>
        <w:wordWrap/>
        <w:overflowPunct w:val="0"/>
        <w:topLinePunct w:val="0"/>
        <w:bidi w:val="0"/>
        <w:adjustRightInd/>
        <w:snapToGrid/>
        <w:spacing w:line="600" w:lineRule="exact"/>
        <w:textAlignment w:val="auto"/>
        <w:outlineLvl w:val="0"/>
        <w:rPr>
          <w:rFonts w:hint="default" w:ascii="Times New Roman" w:hAnsi="Times New Roman" w:cs="Times New Roman"/>
          <w:b w:val="0"/>
          <w:bCs w:val="0"/>
          <w:lang w:eastAsia="zh-CN"/>
        </w:rPr>
      </w:pPr>
      <w:r>
        <w:rPr>
          <w:rFonts w:hint="eastAsia" w:ascii="Times New Roman" w:hAnsi="Times New Roman" w:cs="Times New Roman"/>
          <w:b w:val="0"/>
          <w:bCs w:val="0"/>
          <w:lang w:eastAsia="zh-CN"/>
        </w:rPr>
        <w:t>二</w:t>
      </w:r>
      <w:r>
        <w:rPr>
          <w:rFonts w:hint="default" w:ascii="Times New Roman" w:hAnsi="Times New Roman" w:cs="Times New Roman"/>
          <w:b w:val="0"/>
          <w:bCs w:val="0"/>
          <w:lang w:eastAsia="zh-CN"/>
        </w:rPr>
        <w:t>、组织架构</w:t>
      </w:r>
    </w:p>
    <w:p>
      <w:pPr>
        <w:keepNext w:val="0"/>
        <w:keepLines w:val="0"/>
        <w:pageBreakBefore w:val="0"/>
        <w:widowControl w:val="0"/>
        <w:numPr>
          <w:ilvl w:val="0"/>
          <w:numId w:val="0"/>
        </w:numPr>
        <w:kinsoku/>
        <w:wordWrap/>
        <w:overflowPunct w:val="0"/>
        <w:topLinePunct w:val="0"/>
        <w:bidi w:val="0"/>
        <w:adjustRightInd/>
        <w:snapToGrid/>
        <w:spacing w:line="600" w:lineRule="exact"/>
        <w:ind w:left="640" w:leftChars="0"/>
        <w:textAlignment w:val="auto"/>
        <w:rPr>
          <w:rFonts w:hint="default" w:ascii="Times New Roman" w:hAnsi="Times New Roman" w:eastAsia="仿宋" w:cs="Times New Roman"/>
          <w:lang w:val="en-US" w:eastAsia="zh-CN"/>
        </w:rPr>
      </w:pPr>
      <w:r>
        <w:rPr>
          <w:rFonts w:hint="default" w:ascii="Times New Roman" w:hAnsi="Times New Roman" w:eastAsia="楷体" w:cs="Times New Roman"/>
          <w:lang w:val="en-US" w:eastAsia="zh-CN"/>
        </w:rPr>
        <w:t>（一）指导单位：</w:t>
      </w:r>
      <w:r>
        <w:rPr>
          <w:rFonts w:hint="default" w:ascii="Times New Roman" w:hAnsi="Times New Roman" w:eastAsia="仿宋" w:cs="Times New Roman"/>
          <w:lang w:val="en-US" w:eastAsia="zh-CN"/>
        </w:rPr>
        <w:t>中国证监会办公厅、投资者保护局</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60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楷体" w:cs="Times New Roman"/>
          <w:lang w:val="en-US" w:eastAsia="zh-CN"/>
        </w:rPr>
        <w:t>（二）主办方：</w:t>
      </w:r>
      <w:r>
        <w:rPr>
          <w:rFonts w:hint="default" w:ascii="Times New Roman" w:hAnsi="Times New Roman" w:eastAsia="仿宋" w:cs="Times New Roman"/>
          <w:lang w:val="en-US" w:eastAsia="zh-CN"/>
        </w:rPr>
        <w:t>中证中小投资者服务</w:t>
      </w:r>
      <w:r>
        <w:rPr>
          <w:rFonts w:hint="default" w:ascii="Times New Roman" w:hAnsi="Times New Roman" w:cs="Times New Roman"/>
          <w:lang w:val="en-US" w:eastAsia="zh-CN"/>
        </w:rPr>
        <w:t>中心</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600" w:lineRule="exact"/>
        <w:ind w:left="0" w:leftChars="0" w:firstLine="640" w:firstLineChars="200"/>
        <w:textAlignment w:val="auto"/>
        <w:rPr>
          <w:rFonts w:hint="eastAsia" w:ascii="Times New Roman" w:hAnsi="Times New Roman" w:eastAsia="仿宋" w:cs="Times New Roman"/>
          <w:lang w:val="en-US" w:eastAsia="zh-CN"/>
        </w:rPr>
      </w:pPr>
      <w:r>
        <w:rPr>
          <w:rFonts w:hint="default" w:ascii="Times New Roman" w:hAnsi="Times New Roman" w:eastAsia="楷体" w:cs="Times New Roman"/>
          <w:lang w:val="en-US" w:eastAsia="zh-CN"/>
        </w:rPr>
        <w:t>（三）联合主办方：</w:t>
      </w:r>
      <w:r>
        <w:rPr>
          <w:rFonts w:hint="eastAsia" w:ascii="Times New Roman" w:hAnsi="Times New Roman" w:eastAsia="仿宋" w:cs="Times New Roman"/>
          <w:lang w:val="en-US" w:eastAsia="zh-CN"/>
        </w:rPr>
        <w:t>深圳证监局、</w:t>
      </w:r>
      <w:r>
        <w:rPr>
          <w:rFonts w:hint="eastAsia" w:ascii="Times New Roman" w:hAnsi="Times New Roman" w:cs="Times New Roman"/>
          <w:lang w:val="en-US" w:eastAsia="zh-CN"/>
        </w:rPr>
        <w:t>重庆</w:t>
      </w:r>
      <w:r>
        <w:rPr>
          <w:rFonts w:hint="eastAsia" w:ascii="Times New Roman" w:hAnsi="Times New Roman" w:eastAsia="仿宋" w:cs="Times New Roman"/>
          <w:lang w:val="en-US" w:eastAsia="zh-CN"/>
        </w:rPr>
        <w:t>证监局、</w:t>
      </w:r>
      <w:r>
        <w:rPr>
          <w:rFonts w:hint="eastAsia" w:ascii="Times New Roman" w:hAnsi="Times New Roman" w:cs="Times New Roman"/>
          <w:lang w:val="en-US" w:eastAsia="zh-CN"/>
        </w:rPr>
        <w:t>山西</w:t>
      </w:r>
      <w:r>
        <w:rPr>
          <w:rFonts w:hint="eastAsia" w:ascii="Times New Roman" w:hAnsi="Times New Roman" w:eastAsia="仿宋" w:cs="Times New Roman"/>
          <w:lang w:val="en-US" w:eastAsia="zh-CN"/>
        </w:rPr>
        <w:t>证监局、</w:t>
      </w:r>
      <w:r>
        <w:rPr>
          <w:rFonts w:hint="eastAsia" w:ascii="Times New Roman" w:hAnsi="Times New Roman" w:cs="Times New Roman"/>
          <w:lang w:val="en-US" w:eastAsia="zh-CN"/>
        </w:rPr>
        <w:t>贵州</w:t>
      </w:r>
      <w:r>
        <w:rPr>
          <w:rFonts w:hint="eastAsia" w:ascii="Times New Roman" w:hAnsi="Times New Roman" w:eastAsia="仿宋" w:cs="Times New Roman"/>
          <w:lang w:val="en-US" w:eastAsia="zh-CN"/>
        </w:rPr>
        <w:t>证监局</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600" w:lineRule="exact"/>
        <w:ind w:left="0" w:leftChars="0" w:firstLine="640" w:firstLineChars="200"/>
        <w:textAlignment w:val="auto"/>
        <w:rPr>
          <w:rFonts w:hint="default" w:ascii="Times New Roman" w:hAnsi="Times New Roman" w:cs="Times New Roman"/>
          <w:lang w:val="en-US" w:eastAsia="zh-CN"/>
        </w:rPr>
      </w:pPr>
      <w:r>
        <w:rPr>
          <w:rFonts w:hint="eastAsia" w:ascii="Times New Roman" w:hAnsi="Times New Roman" w:eastAsia="楷体" w:cs="Times New Roman"/>
          <w:lang w:val="en-US" w:eastAsia="zh-CN"/>
        </w:rPr>
        <w:t>（四）决赛主办方：</w:t>
      </w:r>
      <w:r>
        <w:rPr>
          <w:rFonts w:hint="eastAsia" w:ascii="Times New Roman" w:hAnsi="Times New Roman" w:cs="Times New Roman"/>
          <w:lang w:val="en-US" w:eastAsia="zh-CN"/>
        </w:rPr>
        <w:t>芒果超媒</w:t>
      </w:r>
    </w:p>
    <w:p>
      <w:pPr>
        <w:keepNext w:val="0"/>
        <w:keepLines w:val="0"/>
        <w:pageBreakBefore w:val="0"/>
        <w:widowControl w:val="0"/>
        <w:numPr>
          <w:ilvl w:val="0"/>
          <w:numId w:val="0"/>
        </w:numPr>
        <w:kinsoku/>
        <w:wordWrap/>
        <w:overflowPunct w:val="0"/>
        <w:topLinePunct w:val="0"/>
        <w:bidi w:val="0"/>
        <w:adjustRightInd/>
        <w:snapToGrid/>
        <w:spacing w:line="600" w:lineRule="exact"/>
        <w:ind w:left="640" w:leftChars="0"/>
        <w:textAlignment w:val="auto"/>
        <w:rPr>
          <w:rFonts w:hint="default" w:ascii="Times New Roman" w:hAnsi="Times New Roman" w:eastAsia="仿宋" w:cs="Times New Roman"/>
          <w:lang w:val="en-US" w:eastAsia="zh-CN"/>
        </w:rPr>
      </w:pPr>
      <w:r>
        <w:rPr>
          <w:rFonts w:hint="default" w:ascii="Times New Roman" w:hAnsi="Times New Roman" w:eastAsia="楷体" w:cs="Times New Roman"/>
          <w:lang w:val="en-US" w:eastAsia="zh-CN"/>
        </w:rPr>
        <w:t>（</w:t>
      </w:r>
      <w:r>
        <w:rPr>
          <w:rFonts w:hint="eastAsia" w:ascii="Times New Roman" w:hAnsi="Times New Roman" w:eastAsia="楷体" w:cs="Times New Roman"/>
          <w:lang w:val="en-US" w:eastAsia="zh-CN"/>
        </w:rPr>
        <w:t>五</w:t>
      </w:r>
      <w:r>
        <w:rPr>
          <w:rFonts w:hint="default" w:ascii="Times New Roman" w:hAnsi="Times New Roman" w:eastAsia="楷体" w:cs="Times New Roman"/>
          <w:lang w:val="en-US" w:eastAsia="zh-CN"/>
        </w:rPr>
        <w:t>）协办方：</w:t>
      </w:r>
      <w:r>
        <w:rPr>
          <w:rFonts w:hint="eastAsia" w:ascii="Times New Roman" w:hAnsi="Times New Roman" w:eastAsia="仿宋" w:cs="Times New Roman"/>
          <w:lang w:val="en-US" w:eastAsia="zh-CN"/>
        </w:rPr>
        <w:t>其他</w:t>
      </w:r>
      <w:r>
        <w:rPr>
          <w:rFonts w:hint="default" w:ascii="Times New Roman" w:hAnsi="Times New Roman" w:eastAsia="仿宋" w:cs="Times New Roman"/>
          <w:lang w:val="en-US" w:eastAsia="zh-CN"/>
        </w:rPr>
        <w:t>各地证监局、各地行业协会</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default" w:ascii="Times New Roman" w:hAnsi="Times New Roman" w:eastAsia="仿宋" w:cs="Times New Roman"/>
          <w:lang w:val="en-US" w:eastAsia="zh-CN"/>
        </w:rPr>
      </w:pPr>
      <w:r>
        <w:rPr>
          <w:rFonts w:hint="default" w:ascii="Times New Roman" w:hAnsi="Times New Roman" w:eastAsia="楷体" w:cs="Times New Roman"/>
          <w:lang w:val="en-US" w:eastAsia="zh-CN"/>
        </w:rPr>
        <w:t>（</w:t>
      </w:r>
      <w:r>
        <w:rPr>
          <w:rFonts w:hint="eastAsia" w:ascii="Times New Roman" w:hAnsi="Times New Roman" w:eastAsia="楷体" w:cs="Times New Roman"/>
          <w:lang w:val="en-US" w:eastAsia="zh-CN"/>
        </w:rPr>
        <w:t>六</w:t>
      </w:r>
      <w:r>
        <w:rPr>
          <w:rFonts w:hint="default" w:ascii="Times New Roman" w:hAnsi="Times New Roman" w:eastAsia="楷体" w:cs="Times New Roman"/>
          <w:lang w:val="en-US" w:eastAsia="zh-CN"/>
        </w:rPr>
        <w:t>）战队命名方：</w:t>
      </w:r>
      <w:r>
        <w:rPr>
          <w:rFonts w:hint="default" w:ascii="Times New Roman" w:hAnsi="Times New Roman" w:cs="Times New Roman"/>
          <w:lang w:val="en-US" w:eastAsia="zh-CN"/>
        </w:rPr>
        <w:t>证券公司、基金公司</w:t>
      </w:r>
      <w:r>
        <w:rPr>
          <w:rFonts w:hint="eastAsia" w:ascii="Times New Roman" w:hAnsi="Times New Roman" w:cs="Times New Roman"/>
          <w:lang w:val="en-US" w:eastAsia="zh-CN"/>
        </w:rPr>
        <w:t>、上市公司</w:t>
      </w:r>
      <w:r>
        <w:rPr>
          <w:rFonts w:hint="default" w:ascii="Times New Roman" w:hAnsi="Times New Roman" w:cs="Times New Roman"/>
          <w:lang w:val="en-US" w:eastAsia="zh-CN"/>
        </w:rPr>
        <w:t>等市场机构</w:t>
      </w:r>
    </w:p>
    <w:p>
      <w:pPr>
        <w:keepNext w:val="0"/>
        <w:keepLines w:val="0"/>
        <w:pageBreakBefore w:val="0"/>
        <w:widowControl w:val="0"/>
        <w:kinsoku/>
        <w:wordWrap/>
        <w:overflowPunct w:val="0"/>
        <w:topLinePunct w:val="0"/>
        <w:bidi w:val="0"/>
        <w:adjustRightInd/>
        <w:snapToGrid/>
        <w:spacing w:line="600" w:lineRule="exact"/>
        <w:ind w:firstLine="640"/>
        <w:textAlignment w:val="auto"/>
        <w:rPr>
          <w:rFonts w:hint="eastAsia" w:ascii="仿宋" w:hAnsi="仿宋" w:eastAsia="仿宋" w:cs="仿宋"/>
          <w:sz w:val="32"/>
          <w:szCs w:val="40"/>
          <w:lang w:eastAsia="zh-CN" w:bidi="ar"/>
        </w:rPr>
      </w:pPr>
      <w:r>
        <w:rPr>
          <w:rFonts w:hint="default" w:ascii="Times New Roman" w:hAnsi="Times New Roman" w:eastAsia="楷体" w:cs="Times New Roman"/>
          <w:lang w:val="en-US" w:eastAsia="zh-CN"/>
        </w:rPr>
        <w:t>（</w:t>
      </w:r>
      <w:r>
        <w:rPr>
          <w:rFonts w:hint="eastAsia" w:ascii="Times New Roman" w:hAnsi="Times New Roman" w:eastAsia="楷体" w:cs="Times New Roman"/>
          <w:lang w:val="en-US" w:eastAsia="zh-CN"/>
        </w:rPr>
        <w:t>七</w:t>
      </w:r>
      <w:r>
        <w:rPr>
          <w:rFonts w:hint="default" w:ascii="Times New Roman" w:hAnsi="Times New Roman" w:eastAsia="楷体" w:cs="Times New Roman"/>
          <w:lang w:val="en-US" w:eastAsia="zh-CN"/>
        </w:rPr>
        <w:t>）媒体</w:t>
      </w:r>
      <w:r>
        <w:rPr>
          <w:rFonts w:hint="eastAsia" w:ascii="Times New Roman" w:hAnsi="Times New Roman" w:eastAsia="楷体" w:cs="Times New Roman"/>
          <w:lang w:val="en-US" w:eastAsia="zh-CN"/>
        </w:rPr>
        <w:t>与平台</w:t>
      </w:r>
      <w:r>
        <w:rPr>
          <w:rFonts w:hint="default" w:ascii="Times New Roman" w:hAnsi="Times New Roman" w:eastAsia="楷体" w:cs="Times New Roman"/>
          <w:lang w:val="en-US" w:eastAsia="zh-CN"/>
        </w:rPr>
        <w:t>支持：</w:t>
      </w:r>
      <w:r>
        <w:rPr>
          <w:rFonts w:hint="eastAsia" w:ascii="仿宋" w:hAnsi="仿宋" w:eastAsia="仿宋" w:cs="仿宋"/>
          <w:sz w:val="32"/>
          <w:szCs w:val="40"/>
          <w:lang w:bidi="ar"/>
        </w:rPr>
        <w:t>四大证券报、</w:t>
      </w:r>
      <w:r>
        <w:rPr>
          <w:rFonts w:hint="eastAsia" w:ascii="仿宋" w:hAnsi="仿宋" w:cs="仿宋"/>
          <w:sz w:val="32"/>
          <w:szCs w:val="40"/>
          <w:lang w:eastAsia="zh-CN" w:bidi="ar"/>
        </w:rPr>
        <w:t>证券市场红周刊、</w:t>
      </w:r>
      <w:r>
        <w:rPr>
          <w:rFonts w:hint="eastAsia" w:ascii="仿宋" w:hAnsi="仿宋" w:eastAsia="仿宋" w:cs="仿宋"/>
          <w:sz w:val="32"/>
          <w:szCs w:val="40"/>
          <w:lang w:eastAsia="zh-CN" w:bidi="ar"/>
        </w:rPr>
        <w:t>新华网</w:t>
      </w:r>
      <w:r>
        <w:rPr>
          <w:rFonts w:hint="eastAsia" w:ascii="仿宋" w:hAnsi="仿宋" w:cs="仿宋"/>
          <w:sz w:val="32"/>
          <w:szCs w:val="40"/>
          <w:lang w:val="en-US" w:eastAsia="zh-CN" w:bidi="ar"/>
        </w:rPr>
        <w:t>、</w:t>
      </w:r>
      <w:r>
        <w:rPr>
          <w:rFonts w:hint="eastAsia" w:ascii="仿宋" w:hAnsi="仿宋" w:eastAsia="仿宋" w:cs="仿宋"/>
          <w:sz w:val="32"/>
          <w:szCs w:val="40"/>
          <w:lang w:val="en-US" w:eastAsia="zh-CN" w:bidi="ar"/>
        </w:rPr>
        <w:t>全景网、</w:t>
      </w:r>
      <w:r>
        <w:rPr>
          <w:rFonts w:hint="eastAsia" w:ascii="仿宋" w:hAnsi="仿宋" w:eastAsia="仿宋" w:cs="仿宋"/>
          <w:sz w:val="32"/>
          <w:szCs w:val="40"/>
          <w:lang w:bidi="ar"/>
        </w:rPr>
        <w:t>东方财富网、</w:t>
      </w:r>
      <w:r>
        <w:rPr>
          <w:rFonts w:hint="eastAsia" w:ascii="仿宋" w:hAnsi="仿宋" w:eastAsia="仿宋" w:cs="仿宋"/>
          <w:sz w:val="32"/>
          <w:szCs w:val="40"/>
          <w:lang w:eastAsia="zh-CN" w:bidi="ar"/>
        </w:rPr>
        <w:t>芒果</w:t>
      </w:r>
      <w:r>
        <w:rPr>
          <w:rFonts w:hint="eastAsia" w:ascii="仿宋" w:hAnsi="仿宋" w:eastAsia="仿宋" w:cs="仿宋"/>
          <w:sz w:val="32"/>
          <w:szCs w:val="40"/>
          <w:lang w:val="en-US" w:eastAsia="zh-CN" w:bidi="ar"/>
        </w:rPr>
        <w:t>TV</w:t>
      </w:r>
      <w:r>
        <w:rPr>
          <w:rFonts w:hint="eastAsia" w:ascii="仿宋" w:hAnsi="仿宋" w:cs="仿宋"/>
          <w:sz w:val="32"/>
          <w:szCs w:val="40"/>
          <w:lang w:val="en-US" w:eastAsia="zh-CN" w:bidi="ar"/>
        </w:rPr>
        <w:t>、抖音</w:t>
      </w:r>
      <w:r>
        <w:rPr>
          <w:rFonts w:hint="eastAsia" w:ascii="仿宋" w:hAnsi="仿宋" w:eastAsia="仿宋" w:cs="仿宋"/>
          <w:sz w:val="32"/>
          <w:szCs w:val="40"/>
          <w:lang w:bidi="ar"/>
        </w:rPr>
        <w:t>及相关</w:t>
      </w:r>
      <w:r>
        <w:rPr>
          <w:rFonts w:hint="eastAsia" w:ascii="仿宋" w:hAnsi="仿宋" w:cs="仿宋"/>
          <w:sz w:val="32"/>
          <w:szCs w:val="40"/>
          <w:lang w:eastAsia="zh-CN" w:bidi="ar"/>
        </w:rPr>
        <w:t>媒体平台</w:t>
      </w:r>
    </w:p>
    <w:p>
      <w:pPr>
        <w:pStyle w:val="2"/>
        <w:keepNext w:val="0"/>
        <w:keepLines w:val="0"/>
        <w:pageBreakBefore w:val="0"/>
        <w:widowControl w:val="0"/>
        <w:kinsoku/>
        <w:wordWrap/>
        <w:overflowPunct w:val="0"/>
        <w:topLinePunct w:val="0"/>
        <w:bidi w:val="0"/>
        <w:adjustRightInd/>
        <w:snapToGrid/>
        <w:spacing w:line="600" w:lineRule="exact"/>
        <w:textAlignment w:val="auto"/>
        <w:outlineLvl w:val="0"/>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三</w:t>
      </w:r>
      <w:r>
        <w:rPr>
          <w:rFonts w:hint="default" w:ascii="Times New Roman" w:hAnsi="Times New Roman" w:cs="Times New Roman"/>
          <w:b w:val="0"/>
          <w:bCs w:val="0"/>
          <w:lang w:val="en-US" w:eastAsia="zh-CN"/>
        </w:rPr>
        <w:t>、时间安排</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outlineLvl w:val="1"/>
        <w:rPr>
          <w:rFonts w:hint="eastAsia" w:ascii="仿宋" w:hAnsi="仿宋" w:eastAsia="仿宋" w:cs="仿宋"/>
          <w:kern w:val="2"/>
          <w:sz w:val="32"/>
          <w:szCs w:val="32"/>
          <w:lang w:val="en-US" w:eastAsia="zh-CN" w:bidi="ar-SA"/>
        </w:rPr>
      </w:pPr>
      <w:r>
        <w:rPr>
          <w:rFonts w:hint="default" w:ascii="Times New Roman" w:hAnsi="Times New Roman" w:eastAsia="楷体" w:cs="Times New Roman"/>
          <w:b w:val="0"/>
          <w:bCs w:val="0"/>
          <w:lang w:val="en-US" w:eastAsia="zh-CN"/>
        </w:rPr>
        <w:t>（一）周期：</w:t>
      </w:r>
      <w:r>
        <w:rPr>
          <w:rFonts w:hint="eastAsia" w:ascii="仿宋" w:hAnsi="仿宋" w:eastAsia="仿宋" w:cs="仿宋"/>
          <w:kern w:val="2"/>
          <w:sz w:val="32"/>
          <w:szCs w:val="32"/>
          <w:lang w:val="en-US" w:eastAsia="zh-CN" w:bidi="ar-SA"/>
        </w:rPr>
        <w:t>5月至</w:t>
      </w:r>
      <w:r>
        <w:rPr>
          <w:rFonts w:hint="eastAsia" w:ascii="仿宋" w:hAnsi="仿宋" w:cs="仿宋"/>
          <w:kern w:val="2"/>
          <w:sz w:val="32"/>
          <w:szCs w:val="32"/>
          <w:lang w:val="en-US" w:eastAsia="zh-CN" w:bidi="ar-SA"/>
        </w:rPr>
        <w:t>9</w:t>
      </w:r>
      <w:r>
        <w:rPr>
          <w:rFonts w:hint="eastAsia" w:ascii="仿宋" w:hAnsi="仿宋" w:eastAsia="仿宋" w:cs="仿宋"/>
          <w:kern w:val="2"/>
          <w:sz w:val="32"/>
          <w:szCs w:val="32"/>
          <w:lang w:val="en-US" w:eastAsia="zh-CN" w:bidi="ar-SA"/>
        </w:rPr>
        <w:t>月</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3" w:firstLineChars="200"/>
        <w:textAlignment w:val="auto"/>
        <w:outlineLvl w:val="1"/>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（二）</w:t>
      </w:r>
      <w:r>
        <w:rPr>
          <w:rFonts w:hint="eastAsia" w:ascii="Times New Roman" w:hAnsi="Times New Roman" w:eastAsia="楷体" w:cs="Times New Roman"/>
          <w:b/>
          <w:bCs/>
          <w:lang w:val="en-US" w:eastAsia="zh-CN"/>
        </w:rPr>
        <w:t>主竞赛</w:t>
      </w:r>
      <w:r>
        <w:rPr>
          <w:rFonts w:hint="default" w:ascii="Times New Roman" w:hAnsi="Times New Roman" w:eastAsia="楷体" w:cs="Times New Roman"/>
          <w:b/>
          <w:bCs/>
          <w:lang w:val="en-US"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outlineLvl w:val="2"/>
        <w:rPr>
          <w:rFonts w:hint="eastAsia" w:ascii="仿宋" w:hAnsi="仿宋" w:eastAsia="仿宋" w:cs="仿宋"/>
          <w:b w:val="0"/>
          <w:bCs w:val="0"/>
          <w:lang w:val="en-US" w:eastAsia="zh-CN"/>
        </w:rPr>
      </w:pPr>
      <w:r>
        <w:rPr>
          <w:rFonts w:hint="eastAsia" w:ascii="仿宋" w:hAnsi="仿宋" w:cs="仿宋"/>
          <w:b w:val="0"/>
          <w:bCs w:val="0"/>
          <w:lang w:val="en-US" w:eastAsia="zh-CN"/>
        </w:rPr>
        <w:t>1</w:t>
      </w:r>
      <w:r>
        <w:rPr>
          <w:rFonts w:hint="eastAsia" w:ascii="仿宋" w:hAnsi="仿宋" w:eastAsia="仿宋" w:cs="仿宋"/>
          <w:b w:val="0"/>
          <w:bCs w:val="0"/>
          <w:lang w:val="en-US" w:eastAsia="zh-CN"/>
        </w:rPr>
        <w:t>. 初赛：5</w:t>
      </w:r>
      <w:r>
        <w:rPr>
          <w:rFonts w:hint="eastAsia" w:ascii="仿宋" w:hAnsi="仿宋" w:cs="仿宋"/>
          <w:b w:val="0"/>
          <w:bCs w:val="0"/>
          <w:lang w:val="en-US" w:eastAsia="zh-CN"/>
        </w:rPr>
        <w:t>月中旬</w:t>
      </w:r>
      <w:r>
        <w:rPr>
          <w:rFonts w:hint="eastAsia" w:ascii="仿宋" w:hAnsi="仿宋" w:eastAsia="仿宋" w:cs="仿宋"/>
          <w:b w:val="0"/>
          <w:bCs w:val="0"/>
          <w:lang w:val="en-US" w:eastAsia="zh-CN"/>
        </w:rPr>
        <w:t>——6月</w:t>
      </w:r>
      <w:r>
        <w:rPr>
          <w:rFonts w:hint="eastAsia" w:ascii="仿宋" w:hAnsi="仿宋" w:cs="仿宋"/>
          <w:b w:val="0"/>
          <w:bCs w:val="0"/>
          <w:lang w:val="en-US" w:eastAsia="zh-CN"/>
        </w:rPr>
        <w:t>底</w:t>
      </w:r>
      <w:r>
        <w:rPr>
          <w:rFonts w:hint="eastAsia" w:ascii="仿宋" w:hAnsi="仿宋" w:eastAsia="仿宋" w:cs="仿宋"/>
          <w:b w:val="0"/>
          <w:bCs w:val="0"/>
          <w:lang w:val="en-US" w:eastAsia="zh-CN"/>
        </w:rPr>
        <w:t>（6周）</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      通过H5游戏页面进行线上答题</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outlineLvl w:val="2"/>
        <w:rPr>
          <w:rFonts w:hint="eastAsia" w:ascii="仿宋" w:hAnsi="仿宋" w:eastAsia="仿宋" w:cs="仿宋"/>
          <w:b w:val="0"/>
          <w:bCs w:val="0"/>
          <w:lang w:val="en-US" w:eastAsia="zh-CN"/>
        </w:rPr>
      </w:pPr>
      <w:r>
        <w:rPr>
          <w:rFonts w:hint="eastAsia" w:ascii="仿宋" w:hAnsi="仿宋" w:cs="仿宋"/>
          <w:b w:val="0"/>
          <w:bCs w:val="0"/>
          <w:lang w:val="en-US" w:eastAsia="zh-CN"/>
        </w:rPr>
        <w:t xml:space="preserve">2. </w:t>
      </w:r>
      <w:r>
        <w:rPr>
          <w:rFonts w:hint="eastAsia" w:ascii="仿宋" w:hAnsi="仿宋" w:eastAsia="仿宋" w:cs="仿宋"/>
          <w:b w:val="0"/>
          <w:bCs w:val="0"/>
          <w:lang w:val="en-US" w:eastAsia="zh-CN"/>
        </w:rPr>
        <w:t>战队组建：6月</w:t>
      </w:r>
      <w:r>
        <w:rPr>
          <w:rFonts w:hint="eastAsia" w:ascii="仿宋" w:hAnsi="仿宋" w:cs="仿宋"/>
          <w:b w:val="0"/>
          <w:bCs w:val="0"/>
          <w:lang w:val="en-US" w:eastAsia="zh-CN"/>
        </w:rPr>
        <w:t>底</w:t>
      </w:r>
      <w:r>
        <w:rPr>
          <w:rFonts w:hint="eastAsia" w:ascii="仿宋" w:hAnsi="仿宋" w:eastAsia="仿宋" w:cs="仿宋"/>
          <w:b w:val="0"/>
          <w:bCs w:val="0"/>
          <w:lang w:val="en-US" w:eastAsia="zh-CN"/>
        </w:rPr>
        <w:t>——8月</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      组建战队，选拔战队成员</w:t>
      </w:r>
    </w:p>
    <w:p>
      <w:pPr>
        <w:keepNext w:val="0"/>
        <w:keepLines w:val="0"/>
        <w:pageBreakBefore w:val="0"/>
        <w:widowControl w:val="0"/>
        <w:numPr>
          <w:ilvl w:val="0"/>
          <w:numId w:val="1"/>
        </w:numPr>
        <w:kinsoku/>
        <w:wordWrap/>
        <w:overflowPunct w:val="0"/>
        <w:topLinePunct w:val="0"/>
        <w:bidi w:val="0"/>
        <w:adjustRightInd/>
        <w:snapToGrid/>
        <w:spacing w:line="600" w:lineRule="exact"/>
        <w:ind w:left="0" w:leftChars="0" w:firstLine="640" w:firstLineChars="200"/>
        <w:textAlignment w:val="auto"/>
        <w:outlineLvl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训练营及决赛</w:t>
      </w:r>
      <w:r>
        <w:rPr>
          <w:rFonts w:hint="eastAsia" w:ascii="仿宋" w:hAnsi="仿宋" w:cs="仿宋"/>
          <w:b w:val="0"/>
          <w:bCs w:val="0"/>
          <w:lang w:val="en-US" w:eastAsia="zh-CN"/>
        </w:rPr>
        <w:t>录制</w:t>
      </w:r>
      <w:r>
        <w:rPr>
          <w:rFonts w:hint="eastAsia" w:ascii="仿宋" w:hAnsi="仿宋" w:eastAsia="仿宋" w:cs="仿宋"/>
          <w:b w:val="0"/>
          <w:bCs w:val="0"/>
          <w:lang w:val="en-US" w:eastAsia="zh-CN"/>
        </w:rPr>
        <w:t>：8月</w:t>
      </w:r>
      <w:r>
        <w:rPr>
          <w:rFonts w:hint="eastAsia" w:ascii="仿宋" w:hAnsi="仿宋" w:cs="仿宋"/>
          <w:b w:val="0"/>
          <w:bCs w:val="0"/>
          <w:lang w:val="en-US" w:eastAsia="zh-CN"/>
        </w:rPr>
        <w:t>中旬</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      以战队为单位录制一场电视总决赛</w:t>
      </w:r>
    </w:p>
    <w:p>
      <w:pPr>
        <w:keepNext w:val="0"/>
        <w:keepLines w:val="0"/>
        <w:pageBreakBefore w:val="0"/>
        <w:widowControl w:val="0"/>
        <w:numPr>
          <w:ilvl w:val="0"/>
          <w:numId w:val="1"/>
        </w:numPr>
        <w:kinsoku/>
        <w:wordWrap/>
        <w:overflowPunct w:val="0"/>
        <w:topLinePunct w:val="0"/>
        <w:bidi w:val="0"/>
        <w:adjustRightInd/>
        <w:snapToGrid/>
        <w:spacing w:line="600" w:lineRule="exact"/>
        <w:ind w:left="0" w:leftChars="0" w:firstLine="640" w:firstLineChars="200"/>
        <w:textAlignment w:val="auto"/>
        <w:outlineLvl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决赛播出：</w:t>
      </w:r>
      <w:r>
        <w:rPr>
          <w:rFonts w:hint="eastAsia" w:ascii="仿宋" w:hAnsi="仿宋" w:cs="仿宋"/>
          <w:b w:val="0"/>
          <w:bCs w:val="0"/>
          <w:lang w:val="en-US" w:eastAsia="zh-CN"/>
        </w:rPr>
        <w:t>9月</w:t>
      </w:r>
    </w:p>
    <w:p>
      <w:pPr>
        <w:keepNext w:val="0"/>
        <w:keepLines w:val="0"/>
        <w:pageBreakBefore w:val="0"/>
        <w:widowControl w:val="0"/>
        <w:numPr>
          <w:ilvl w:val="0"/>
          <w:numId w:val="0"/>
        </w:numPr>
        <w:kinsoku/>
        <w:wordWrap/>
        <w:overflowPunct w:val="0"/>
        <w:topLinePunct w:val="0"/>
        <w:bidi w:val="0"/>
        <w:adjustRightInd/>
        <w:snapToGrid/>
        <w:spacing w:line="600" w:lineRule="exact"/>
        <w:ind w:leftChars="200" w:firstLine="960" w:firstLineChars="3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拟</w:t>
      </w:r>
      <w:r>
        <w:rPr>
          <w:rFonts w:hint="eastAsia" w:ascii="仿宋" w:hAnsi="仿宋" w:cs="仿宋"/>
          <w:b w:val="0"/>
          <w:bCs w:val="0"/>
          <w:lang w:val="en-US" w:eastAsia="zh-CN"/>
        </w:rPr>
        <w:t>于</w:t>
      </w:r>
      <w:r>
        <w:rPr>
          <w:rFonts w:hint="eastAsia" w:ascii="仿宋" w:hAnsi="仿宋" w:eastAsia="仿宋" w:cs="仿宋"/>
          <w:b w:val="0"/>
          <w:bCs w:val="0"/>
          <w:lang w:val="en-US" w:eastAsia="zh-CN"/>
        </w:rPr>
        <w:t>湖南卫视、芒果TV</w:t>
      </w:r>
      <w:r>
        <w:rPr>
          <w:rFonts w:hint="eastAsia" w:ascii="仿宋" w:hAnsi="仿宋" w:cs="仿宋"/>
          <w:b w:val="0"/>
          <w:bCs w:val="0"/>
          <w:lang w:val="en-US" w:eastAsia="zh-CN"/>
        </w:rPr>
        <w:t>双平台</w:t>
      </w:r>
      <w:r>
        <w:rPr>
          <w:rFonts w:hint="eastAsia" w:ascii="仿宋" w:hAnsi="仿宋" w:eastAsia="仿宋" w:cs="仿宋"/>
          <w:b w:val="0"/>
          <w:bCs w:val="0"/>
          <w:lang w:val="en-US" w:eastAsia="zh-CN"/>
        </w:rPr>
        <w:t>播出</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3" w:firstLineChars="200"/>
        <w:textAlignment w:val="auto"/>
        <w:outlineLvl w:val="1"/>
        <w:rPr>
          <w:rFonts w:hint="eastAsia" w:ascii="Times New Roman" w:hAnsi="Times New Roman" w:eastAsia="楷体" w:cs="Times New Roman"/>
          <w:b/>
          <w:bCs/>
          <w:lang w:val="en-US" w:eastAsia="zh-CN"/>
        </w:rPr>
      </w:pPr>
      <w:r>
        <w:rPr>
          <w:rFonts w:hint="eastAsia" w:ascii="Times New Roman" w:hAnsi="Times New Roman" w:eastAsia="楷体" w:cs="Times New Roman"/>
          <w:b/>
          <w:bCs/>
          <w:lang w:val="en-US" w:eastAsia="zh-CN"/>
        </w:rPr>
        <w:t>（三）短视频大赛：</w:t>
      </w:r>
    </w:p>
    <w:p>
      <w:pPr>
        <w:keepNext w:val="0"/>
        <w:keepLines w:val="0"/>
        <w:pageBreakBefore w:val="0"/>
        <w:widowControl w:val="0"/>
        <w:numPr>
          <w:ilvl w:val="0"/>
          <w:numId w:val="2"/>
        </w:numPr>
        <w:kinsoku/>
        <w:wordWrap/>
        <w:overflowPunct w:val="0"/>
        <w:topLinePunct w:val="0"/>
        <w:bidi w:val="0"/>
        <w:adjustRightInd/>
        <w:snapToGrid/>
        <w:spacing w:line="600" w:lineRule="exact"/>
        <w:ind w:firstLine="640" w:firstLineChars="200"/>
        <w:textAlignment w:val="auto"/>
        <w:outlineLvl w:val="2"/>
        <w:rPr>
          <w:rFonts w:hint="default" w:ascii="仿宋" w:hAnsi="仿宋" w:eastAsia="仿宋" w:cs="仿宋"/>
          <w:b w:val="0"/>
          <w:bCs w:val="0"/>
          <w:lang w:val="en-US" w:eastAsia="zh-CN"/>
        </w:rPr>
      </w:pPr>
      <w:r>
        <w:rPr>
          <w:rFonts w:hint="eastAsia" w:ascii="仿宋" w:hAnsi="仿宋" w:cs="仿宋"/>
          <w:b w:val="0"/>
          <w:bCs w:val="0"/>
          <w:lang w:val="en-US" w:eastAsia="zh-CN"/>
        </w:rPr>
        <w:t>作品</w:t>
      </w:r>
      <w:r>
        <w:rPr>
          <w:rFonts w:hint="eastAsia" w:ascii="仿宋" w:hAnsi="仿宋" w:eastAsia="仿宋" w:cs="仿宋"/>
          <w:b w:val="0"/>
          <w:bCs w:val="0"/>
          <w:lang w:val="en-US" w:eastAsia="zh-CN"/>
        </w:rPr>
        <w:t>征集：</w:t>
      </w:r>
      <w:r>
        <w:rPr>
          <w:rFonts w:hint="eastAsia" w:ascii="仿宋" w:hAnsi="仿宋" w:cs="仿宋"/>
          <w:b w:val="0"/>
          <w:bCs w:val="0"/>
          <w:lang w:val="en-US" w:eastAsia="zh-CN"/>
        </w:rPr>
        <w:t>5月中旬——6月底（6周）</w:t>
      </w:r>
    </w:p>
    <w:p>
      <w:pPr>
        <w:keepNext w:val="0"/>
        <w:keepLines w:val="0"/>
        <w:pageBreakBefore w:val="0"/>
        <w:widowControl w:val="0"/>
        <w:numPr>
          <w:ilvl w:val="0"/>
          <w:numId w:val="0"/>
        </w:numPr>
        <w:kinsoku/>
        <w:wordWrap/>
        <w:overflowPunct w:val="0"/>
        <w:topLinePunct w:val="0"/>
        <w:bidi w:val="0"/>
        <w:adjustRightInd/>
        <w:snapToGrid/>
        <w:spacing w:line="600" w:lineRule="exact"/>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 xml:space="preserve">          通过抖音APP征集投教短视频作品</w:t>
      </w:r>
    </w:p>
    <w:p>
      <w:pPr>
        <w:keepNext w:val="0"/>
        <w:keepLines w:val="0"/>
        <w:pageBreakBefore w:val="0"/>
        <w:widowControl w:val="0"/>
        <w:numPr>
          <w:ilvl w:val="0"/>
          <w:numId w:val="2"/>
        </w:numPr>
        <w:kinsoku/>
        <w:wordWrap/>
        <w:overflowPunct w:val="0"/>
        <w:topLinePunct w:val="0"/>
        <w:bidi w:val="0"/>
        <w:adjustRightInd/>
        <w:snapToGrid/>
        <w:spacing w:line="600" w:lineRule="exact"/>
        <w:ind w:left="0" w:leftChars="0" w:firstLine="640" w:firstLineChars="200"/>
        <w:textAlignment w:val="auto"/>
        <w:outlineLvl w:val="2"/>
        <w:rPr>
          <w:rFonts w:hint="default" w:ascii="仿宋" w:hAnsi="仿宋" w:eastAsia="仿宋" w:cs="仿宋"/>
          <w:b w:val="0"/>
          <w:bCs w:val="0"/>
          <w:lang w:val="en-US" w:eastAsia="zh-CN"/>
        </w:rPr>
      </w:pPr>
      <w:r>
        <w:rPr>
          <w:rFonts w:hint="eastAsia" w:ascii="仿宋" w:hAnsi="仿宋" w:cs="仿宋"/>
          <w:b w:val="0"/>
          <w:bCs w:val="0"/>
          <w:lang w:val="en-US" w:eastAsia="zh-CN"/>
        </w:rPr>
        <w:t>片区作品推荐</w:t>
      </w:r>
      <w:r>
        <w:rPr>
          <w:rFonts w:hint="eastAsia" w:ascii="仿宋" w:hAnsi="仿宋" w:eastAsia="仿宋" w:cs="仿宋"/>
          <w:b w:val="0"/>
          <w:bCs w:val="0"/>
          <w:lang w:val="en-US" w:eastAsia="zh-CN"/>
        </w:rPr>
        <w:t>：</w:t>
      </w:r>
      <w:r>
        <w:rPr>
          <w:rFonts w:hint="eastAsia" w:ascii="仿宋" w:hAnsi="仿宋" w:cs="仿宋"/>
          <w:b w:val="0"/>
          <w:bCs w:val="0"/>
          <w:lang w:val="en-US" w:eastAsia="zh-CN"/>
        </w:rPr>
        <w:t>7月上旬（1周）</w:t>
      </w:r>
    </w:p>
    <w:p>
      <w:pPr>
        <w:keepNext w:val="0"/>
        <w:keepLines w:val="0"/>
        <w:pageBreakBefore w:val="0"/>
        <w:widowControl w:val="0"/>
        <w:numPr>
          <w:ilvl w:val="0"/>
          <w:numId w:val="0"/>
        </w:numPr>
        <w:kinsoku/>
        <w:wordWrap/>
        <w:overflowPunct w:val="0"/>
        <w:topLinePunct w:val="0"/>
        <w:bidi w:val="0"/>
        <w:adjustRightInd/>
        <w:snapToGrid/>
        <w:spacing w:line="600" w:lineRule="exact"/>
        <w:ind w:left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 xml:space="preserve">      由各片区分别推荐12只入围作品</w:t>
      </w:r>
    </w:p>
    <w:p>
      <w:pPr>
        <w:keepNext w:val="0"/>
        <w:keepLines w:val="0"/>
        <w:pageBreakBefore w:val="0"/>
        <w:widowControl w:val="0"/>
        <w:numPr>
          <w:ilvl w:val="0"/>
          <w:numId w:val="2"/>
        </w:numPr>
        <w:kinsoku/>
        <w:wordWrap/>
        <w:overflowPunct w:val="0"/>
        <w:topLinePunct w:val="0"/>
        <w:bidi w:val="0"/>
        <w:adjustRightInd/>
        <w:snapToGrid/>
        <w:spacing w:line="600" w:lineRule="exact"/>
        <w:ind w:left="0" w:leftChars="0" w:firstLine="640" w:firstLineChars="200"/>
        <w:textAlignment w:val="auto"/>
        <w:outlineLvl w:val="2"/>
        <w:rPr>
          <w:rFonts w:hint="default" w:ascii="仿宋" w:hAnsi="仿宋" w:eastAsia="仿宋" w:cs="仿宋"/>
          <w:b w:val="0"/>
          <w:bCs w:val="0"/>
          <w:lang w:val="en-US" w:eastAsia="zh-CN"/>
        </w:rPr>
      </w:pPr>
      <w:r>
        <w:rPr>
          <w:rFonts w:hint="eastAsia" w:ascii="仿宋" w:hAnsi="仿宋" w:cs="仿宋"/>
          <w:b w:val="0"/>
          <w:bCs w:val="0"/>
          <w:lang w:val="en-US" w:eastAsia="zh-CN"/>
        </w:rPr>
        <w:t>作品展播与专家评选</w:t>
      </w:r>
      <w:r>
        <w:rPr>
          <w:rFonts w:hint="eastAsia" w:ascii="仿宋" w:hAnsi="仿宋" w:eastAsia="仿宋" w:cs="仿宋"/>
          <w:b w:val="0"/>
          <w:bCs w:val="0"/>
          <w:lang w:val="en-US" w:eastAsia="zh-CN"/>
        </w:rPr>
        <w:t>：</w:t>
      </w:r>
      <w:r>
        <w:rPr>
          <w:rFonts w:hint="eastAsia" w:ascii="仿宋" w:hAnsi="仿宋" w:cs="仿宋"/>
          <w:b w:val="0"/>
          <w:bCs w:val="0"/>
          <w:lang w:val="en-US" w:eastAsia="zh-CN"/>
        </w:rPr>
        <w:t>7月中旬（1周）</w:t>
      </w:r>
    </w:p>
    <w:p>
      <w:pPr>
        <w:keepNext w:val="0"/>
        <w:keepLines w:val="0"/>
        <w:pageBreakBefore w:val="0"/>
        <w:widowControl w:val="0"/>
        <w:numPr>
          <w:ilvl w:val="0"/>
          <w:numId w:val="0"/>
        </w:numPr>
        <w:kinsoku/>
        <w:wordWrap/>
        <w:overflowPunct w:val="0"/>
        <w:topLinePunct w:val="0"/>
        <w:bidi w:val="0"/>
        <w:adjustRightInd/>
        <w:snapToGrid/>
        <w:spacing w:line="600" w:lineRule="exact"/>
        <w:ind w:left="640" w:leftChars="200" w:firstLine="0" w:firstLineChars="0"/>
        <w:textAlignment w:val="auto"/>
        <w:outlineLvl w:val="0"/>
        <w:rPr>
          <w:rFonts w:hint="eastAsia" w:ascii="黑体" w:hAnsi="黑体" w:eastAsia="黑体" w:cs="黑体"/>
          <w:b w:val="0"/>
          <w:bCs w:val="0"/>
          <w:lang w:val="en-US" w:eastAsia="zh-CN"/>
        </w:rPr>
      </w:pPr>
      <w:r>
        <w:rPr>
          <w:rFonts w:hint="eastAsia" w:ascii="仿宋" w:hAnsi="仿宋" w:cs="仿宋"/>
          <w:b w:val="0"/>
          <w:bCs w:val="0"/>
          <w:lang w:val="en-US" w:eastAsia="zh-CN"/>
        </w:rPr>
        <w:t xml:space="preserve">      以作品展播结合专家打分方式评选出获奖作品</w:t>
      </w:r>
      <w:r>
        <w:rPr>
          <w:rFonts w:hint="eastAsia" w:ascii="黑体" w:hAnsi="黑体" w:eastAsia="黑体" w:cs="黑体"/>
          <w:b w:val="0"/>
          <w:bCs w:val="0"/>
          <w:lang w:val="en-US" w:eastAsia="zh-CN"/>
        </w:rPr>
        <w:t>四、片区划分</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textAlignment w:val="auto"/>
        <w:rPr>
          <w:rFonts w:hint="eastAsia" w:ascii="仿宋" w:hAnsi="仿宋" w:cs="仿宋"/>
          <w:b w:val="0"/>
          <w:bCs w:val="0"/>
          <w:lang w:val="en-US" w:eastAsia="zh-CN"/>
        </w:rPr>
      </w:pPr>
      <w:r>
        <w:rPr>
          <w:rFonts w:hint="eastAsia" w:ascii="仿宋" w:hAnsi="仿宋" w:cs="仿宋"/>
          <w:b w:val="0"/>
          <w:bCs w:val="0"/>
          <w:lang w:val="en-US" w:eastAsia="zh-CN"/>
        </w:rPr>
        <w:t>《股东来了》2022共设置深圳、重庆、山西、贵州四大片区，覆盖全国36个赛区及港澳台地区，片区划分情况如下：</w:t>
      </w:r>
    </w:p>
    <w:tbl>
      <w:tblPr>
        <w:tblStyle w:val="6"/>
        <w:tblpPr w:leftFromText="180" w:rightFromText="180" w:vertAnchor="page" w:horzAnchor="page" w:tblpX="2025" w:tblpY="8333"/>
        <w:tblOverlap w:val="never"/>
        <w:tblW w:w="48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565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09"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片区</w:t>
            </w:r>
          </w:p>
        </w:tc>
        <w:tc>
          <w:tcPr>
            <w:tcW w:w="3415"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覆盖</w:t>
            </w:r>
            <w:r>
              <w:rPr>
                <w:rFonts w:hint="eastAsia" w:ascii="仿宋" w:hAnsi="仿宋" w:cs="仿宋"/>
                <w:sz w:val="32"/>
                <w:szCs w:val="32"/>
                <w:vertAlign w:val="baseline"/>
                <w:lang w:val="en-US" w:eastAsia="zh-CN"/>
              </w:rPr>
              <w:t>赛区</w:t>
            </w:r>
          </w:p>
        </w:tc>
        <w:tc>
          <w:tcPr>
            <w:tcW w:w="774"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cs="仿宋"/>
                <w:sz w:val="32"/>
                <w:szCs w:val="32"/>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809"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深圳</w:t>
            </w:r>
          </w:p>
        </w:tc>
        <w:tc>
          <w:tcPr>
            <w:tcW w:w="3415" w:type="pct"/>
            <w:vAlign w:val="center"/>
          </w:tcPr>
          <w:p>
            <w:pPr>
              <w:keepNext w:val="0"/>
              <w:keepLines w:val="0"/>
              <w:pageBreakBefore w:val="0"/>
              <w:widowControl w:val="0"/>
              <w:kinsoku/>
              <w:wordWrap/>
              <w:overflowPunct w:val="0"/>
              <w:topLinePunct w:val="0"/>
              <w:autoSpaceDE w:val="0"/>
              <w:autoSpaceDN w:val="0"/>
              <w:bidi w:val="0"/>
              <w:adjustRightInd/>
              <w:snapToGrid/>
              <w:ind w:firstLine="0" w:firstLineChars="0"/>
              <w:jc w:val="both"/>
              <w:textAlignment w:val="auto"/>
              <w:rPr>
                <w:rFonts w:hint="eastAsia" w:ascii="仿宋" w:hAnsi="仿宋" w:eastAsia="仿宋" w:cs="仿宋"/>
                <w:sz w:val="32"/>
                <w:szCs w:val="32"/>
                <w:vertAlign w:val="baseline"/>
                <w:lang w:val="en-US" w:eastAsia="zh-CN"/>
              </w:rPr>
            </w:pPr>
            <w:r>
              <w:rPr>
                <w:rFonts w:hint="eastAsia" w:ascii="仿宋" w:hAnsi="仿宋" w:cs="仿宋"/>
                <w:sz w:val="32"/>
                <w:szCs w:val="32"/>
                <w:vertAlign w:val="baseline"/>
                <w:lang w:eastAsia="zh-CN"/>
              </w:rPr>
              <w:t>深圳、</w:t>
            </w:r>
            <w:r>
              <w:rPr>
                <w:rFonts w:hint="eastAsia" w:ascii="仿宋" w:hAnsi="仿宋" w:eastAsia="仿宋" w:cs="仿宋"/>
                <w:sz w:val="32"/>
                <w:szCs w:val="32"/>
                <w:vertAlign w:val="baseline"/>
                <w:lang w:eastAsia="zh-CN"/>
              </w:rPr>
              <w:t>广东、广西、厦门、</w:t>
            </w:r>
            <w:r>
              <w:rPr>
                <w:rFonts w:hint="eastAsia" w:ascii="仿宋" w:hAnsi="仿宋" w:eastAsia="仿宋" w:cs="仿宋"/>
                <w:sz w:val="32"/>
                <w:szCs w:val="32"/>
                <w:vertAlign w:val="baseline"/>
                <w:lang w:val="en-US" w:eastAsia="zh-CN"/>
              </w:rPr>
              <w:t>海</w:t>
            </w:r>
            <w:r>
              <w:rPr>
                <w:rFonts w:hint="eastAsia" w:ascii="仿宋" w:hAnsi="仿宋" w:eastAsia="仿宋" w:cs="仿宋"/>
                <w:sz w:val="32"/>
                <w:szCs w:val="32"/>
                <w:vertAlign w:val="baseline"/>
                <w:lang w:eastAsia="zh-CN"/>
              </w:rPr>
              <w:t>南、</w:t>
            </w:r>
            <w:r>
              <w:rPr>
                <w:rFonts w:hint="eastAsia" w:ascii="仿宋" w:hAnsi="仿宋" w:eastAsia="仿宋" w:cs="仿宋"/>
                <w:sz w:val="32"/>
                <w:szCs w:val="32"/>
                <w:vertAlign w:val="baseline"/>
                <w:lang w:val="en-US" w:eastAsia="zh-CN"/>
              </w:rPr>
              <w:t>江西</w:t>
            </w:r>
            <w:r>
              <w:rPr>
                <w:rFonts w:hint="eastAsia" w:ascii="仿宋" w:hAnsi="仿宋" w:cs="仿宋"/>
                <w:sz w:val="32"/>
                <w:szCs w:val="32"/>
                <w:vertAlign w:val="baseline"/>
                <w:lang w:val="en-US" w:eastAsia="zh-CN"/>
              </w:rPr>
              <w:t>、</w:t>
            </w:r>
            <w:r>
              <w:rPr>
                <w:rFonts w:hint="eastAsia" w:ascii="仿宋" w:hAnsi="仿宋" w:eastAsia="仿宋" w:cs="仿宋"/>
                <w:sz w:val="32"/>
                <w:szCs w:val="32"/>
                <w:vertAlign w:val="baseline"/>
                <w:lang w:val="en-US" w:eastAsia="zh-CN"/>
              </w:rPr>
              <w:t>安徽、内蒙古、</w:t>
            </w:r>
            <w:r>
              <w:rPr>
                <w:rFonts w:hint="eastAsia" w:ascii="仿宋" w:hAnsi="仿宋" w:eastAsia="仿宋" w:cs="仿宋"/>
                <w:sz w:val="32"/>
                <w:szCs w:val="32"/>
                <w:vertAlign w:val="baseline"/>
                <w:lang w:eastAsia="zh-CN"/>
              </w:rPr>
              <w:t>香港、澳门、台湾</w:t>
            </w:r>
          </w:p>
        </w:tc>
        <w:tc>
          <w:tcPr>
            <w:tcW w:w="774"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09"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重庆</w:t>
            </w:r>
          </w:p>
        </w:tc>
        <w:tc>
          <w:tcPr>
            <w:tcW w:w="3415" w:type="pct"/>
            <w:vAlign w:val="center"/>
          </w:tcPr>
          <w:p>
            <w:pPr>
              <w:keepNext w:val="0"/>
              <w:keepLines w:val="0"/>
              <w:pageBreakBefore w:val="0"/>
              <w:widowControl w:val="0"/>
              <w:kinsoku/>
              <w:wordWrap/>
              <w:overflowPunct w:val="0"/>
              <w:topLinePunct w:val="0"/>
              <w:autoSpaceDE w:val="0"/>
              <w:autoSpaceDN w:val="0"/>
              <w:bidi w:val="0"/>
              <w:adjustRightInd/>
              <w:snapToGrid/>
              <w:ind w:firstLine="0" w:firstLineChars="0"/>
              <w:jc w:val="both"/>
              <w:textAlignment w:val="auto"/>
              <w:rPr>
                <w:rFonts w:hint="eastAsia" w:ascii="仿宋" w:hAnsi="仿宋" w:eastAsia="仿宋" w:cs="仿宋"/>
                <w:sz w:val="32"/>
                <w:szCs w:val="32"/>
                <w:vertAlign w:val="baseline"/>
                <w:lang w:eastAsia="zh-CN"/>
              </w:rPr>
            </w:pPr>
            <w:r>
              <w:rPr>
                <w:rFonts w:hint="eastAsia" w:ascii="仿宋" w:hAnsi="仿宋" w:cs="仿宋"/>
                <w:sz w:val="32"/>
                <w:szCs w:val="32"/>
                <w:vertAlign w:val="baseline"/>
                <w:lang w:val="en-US" w:eastAsia="zh-CN"/>
              </w:rPr>
              <w:t>重庆、</w:t>
            </w:r>
            <w:r>
              <w:rPr>
                <w:rFonts w:hint="eastAsia" w:ascii="仿宋" w:hAnsi="仿宋" w:eastAsia="仿宋" w:cs="仿宋"/>
                <w:sz w:val="32"/>
                <w:szCs w:val="32"/>
                <w:vertAlign w:val="baseline"/>
                <w:lang w:val="en-US" w:eastAsia="zh-CN"/>
              </w:rPr>
              <w:t>四川、</w:t>
            </w:r>
            <w:r>
              <w:rPr>
                <w:rFonts w:hint="eastAsia" w:ascii="仿宋" w:hAnsi="仿宋" w:eastAsia="仿宋" w:cs="仿宋"/>
                <w:sz w:val="32"/>
                <w:szCs w:val="32"/>
                <w:vertAlign w:val="baseline"/>
                <w:lang w:eastAsia="zh-CN"/>
              </w:rPr>
              <w:t>河南、陕西、甘肃、青海、宁夏、</w:t>
            </w:r>
            <w:r>
              <w:rPr>
                <w:rFonts w:hint="eastAsia" w:ascii="仿宋" w:hAnsi="仿宋" w:eastAsia="仿宋" w:cs="仿宋"/>
                <w:sz w:val="32"/>
                <w:szCs w:val="32"/>
                <w:vertAlign w:val="baseline"/>
                <w:lang w:val="en-US" w:eastAsia="zh-CN"/>
              </w:rPr>
              <w:t>上海、福建</w:t>
            </w:r>
          </w:p>
        </w:tc>
        <w:tc>
          <w:tcPr>
            <w:tcW w:w="774"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09"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山西</w:t>
            </w:r>
          </w:p>
        </w:tc>
        <w:tc>
          <w:tcPr>
            <w:tcW w:w="3415" w:type="pct"/>
            <w:vAlign w:val="center"/>
          </w:tcPr>
          <w:p>
            <w:pPr>
              <w:keepNext w:val="0"/>
              <w:keepLines w:val="0"/>
              <w:pageBreakBefore w:val="0"/>
              <w:widowControl w:val="0"/>
              <w:kinsoku/>
              <w:wordWrap/>
              <w:overflowPunct w:val="0"/>
              <w:topLinePunct w:val="0"/>
              <w:autoSpaceDE w:val="0"/>
              <w:autoSpaceDN w:val="0"/>
              <w:bidi w:val="0"/>
              <w:adjustRightInd/>
              <w:snapToGrid/>
              <w:ind w:firstLine="0" w:firstLineChars="0"/>
              <w:jc w:val="both"/>
              <w:textAlignment w:val="auto"/>
              <w:rPr>
                <w:rFonts w:hint="eastAsia" w:ascii="仿宋" w:hAnsi="仿宋" w:eastAsia="仿宋" w:cs="仿宋"/>
                <w:sz w:val="32"/>
                <w:szCs w:val="32"/>
                <w:vertAlign w:val="baseline"/>
                <w:lang w:eastAsia="zh-CN"/>
              </w:rPr>
            </w:pPr>
            <w:r>
              <w:rPr>
                <w:rFonts w:hint="eastAsia" w:ascii="仿宋" w:hAnsi="仿宋" w:cs="仿宋"/>
                <w:sz w:val="32"/>
                <w:szCs w:val="32"/>
                <w:vertAlign w:val="baseline"/>
                <w:lang w:val="en-US" w:eastAsia="zh-CN"/>
              </w:rPr>
              <w:t>山西、</w:t>
            </w:r>
            <w:r>
              <w:rPr>
                <w:rFonts w:hint="eastAsia" w:ascii="仿宋" w:hAnsi="仿宋" w:eastAsia="仿宋" w:cs="仿宋"/>
                <w:sz w:val="32"/>
                <w:szCs w:val="32"/>
                <w:vertAlign w:val="baseline"/>
                <w:lang w:val="en-US" w:eastAsia="zh-CN"/>
              </w:rPr>
              <w:t>河北、北京</w:t>
            </w:r>
            <w:r>
              <w:rPr>
                <w:rFonts w:hint="eastAsia" w:ascii="仿宋" w:hAnsi="仿宋" w:eastAsia="仿宋" w:cs="仿宋"/>
                <w:sz w:val="32"/>
                <w:szCs w:val="32"/>
                <w:vertAlign w:val="baseline"/>
                <w:lang w:eastAsia="zh-CN"/>
              </w:rPr>
              <w:t>、</w:t>
            </w:r>
            <w:r>
              <w:rPr>
                <w:rFonts w:hint="eastAsia" w:ascii="仿宋" w:hAnsi="仿宋" w:eastAsia="仿宋" w:cs="仿宋"/>
                <w:sz w:val="32"/>
                <w:szCs w:val="32"/>
                <w:vertAlign w:val="baseline"/>
                <w:lang w:val="en-US" w:eastAsia="zh-CN"/>
              </w:rPr>
              <w:t>辽宁、</w:t>
            </w:r>
            <w:r>
              <w:rPr>
                <w:rFonts w:hint="eastAsia" w:ascii="仿宋" w:hAnsi="仿宋" w:eastAsia="仿宋" w:cs="仿宋"/>
                <w:sz w:val="32"/>
                <w:szCs w:val="32"/>
                <w:vertAlign w:val="baseline"/>
                <w:lang w:eastAsia="zh-CN"/>
              </w:rPr>
              <w:t>大连、</w:t>
            </w:r>
            <w:r>
              <w:rPr>
                <w:rFonts w:hint="eastAsia" w:ascii="仿宋" w:hAnsi="仿宋" w:eastAsia="仿宋" w:cs="仿宋"/>
                <w:sz w:val="32"/>
                <w:szCs w:val="32"/>
                <w:vertAlign w:val="baseline"/>
                <w:lang w:val="en-US" w:eastAsia="zh-CN"/>
              </w:rPr>
              <w:t>吉林、</w:t>
            </w:r>
            <w:r>
              <w:rPr>
                <w:rFonts w:hint="eastAsia" w:ascii="仿宋" w:hAnsi="仿宋" w:eastAsia="仿宋" w:cs="仿宋"/>
                <w:sz w:val="32"/>
                <w:szCs w:val="32"/>
                <w:vertAlign w:val="baseline"/>
                <w:lang w:eastAsia="zh-CN"/>
              </w:rPr>
              <w:t>黑龙江、江苏</w:t>
            </w:r>
          </w:p>
        </w:tc>
        <w:tc>
          <w:tcPr>
            <w:tcW w:w="774"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09"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贵州</w:t>
            </w:r>
          </w:p>
        </w:tc>
        <w:tc>
          <w:tcPr>
            <w:tcW w:w="3415" w:type="pct"/>
            <w:vAlign w:val="center"/>
          </w:tcPr>
          <w:p>
            <w:pPr>
              <w:keepNext w:val="0"/>
              <w:keepLines w:val="0"/>
              <w:pageBreakBefore w:val="0"/>
              <w:widowControl w:val="0"/>
              <w:kinsoku/>
              <w:wordWrap/>
              <w:overflowPunct w:val="0"/>
              <w:topLinePunct w:val="0"/>
              <w:autoSpaceDE w:val="0"/>
              <w:autoSpaceDN w:val="0"/>
              <w:bidi w:val="0"/>
              <w:adjustRightInd/>
              <w:snapToGrid/>
              <w:ind w:firstLine="0" w:firstLineChars="0"/>
              <w:jc w:val="both"/>
              <w:textAlignment w:val="auto"/>
              <w:rPr>
                <w:rFonts w:hint="eastAsia" w:ascii="仿宋" w:hAnsi="仿宋" w:eastAsia="仿宋" w:cs="仿宋"/>
                <w:kern w:val="2"/>
                <w:sz w:val="32"/>
                <w:szCs w:val="32"/>
                <w:vertAlign w:val="baseline"/>
                <w:lang w:val="en-US" w:eastAsia="zh-CN" w:bidi="ar-SA"/>
              </w:rPr>
            </w:pPr>
            <w:r>
              <w:rPr>
                <w:rFonts w:hint="eastAsia" w:ascii="仿宋" w:hAnsi="仿宋" w:cs="仿宋"/>
                <w:sz w:val="32"/>
                <w:szCs w:val="32"/>
                <w:vertAlign w:val="baseline"/>
                <w:lang w:val="en-US" w:eastAsia="zh-CN"/>
              </w:rPr>
              <w:t>贵州、</w:t>
            </w:r>
            <w:r>
              <w:rPr>
                <w:rFonts w:hint="eastAsia" w:ascii="仿宋" w:hAnsi="仿宋" w:eastAsia="仿宋" w:cs="仿宋"/>
                <w:sz w:val="32"/>
                <w:szCs w:val="32"/>
                <w:vertAlign w:val="baseline"/>
                <w:lang w:val="en-US" w:eastAsia="zh-CN"/>
              </w:rPr>
              <w:t>云南、</w:t>
            </w:r>
            <w:r>
              <w:rPr>
                <w:rFonts w:hint="eastAsia" w:ascii="仿宋" w:hAnsi="仿宋" w:eastAsia="仿宋" w:cs="仿宋"/>
                <w:sz w:val="32"/>
                <w:szCs w:val="32"/>
                <w:vertAlign w:val="baseline"/>
                <w:lang w:eastAsia="zh-CN"/>
              </w:rPr>
              <w:t>新疆、西藏、湖</w:t>
            </w:r>
            <w:r>
              <w:rPr>
                <w:rFonts w:hint="eastAsia" w:ascii="仿宋" w:hAnsi="仿宋" w:eastAsia="仿宋" w:cs="仿宋"/>
                <w:sz w:val="32"/>
                <w:szCs w:val="32"/>
                <w:vertAlign w:val="baseline"/>
                <w:lang w:val="en-US" w:eastAsia="zh-CN"/>
              </w:rPr>
              <w:t>南</w:t>
            </w:r>
            <w:r>
              <w:rPr>
                <w:rFonts w:hint="eastAsia" w:ascii="仿宋" w:hAnsi="仿宋" w:eastAsia="仿宋" w:cs="仿宋"/>
                <w:sz w:val="32"/>
                <w:szCs w:val="32"/>
                <w:vertAlign w:val="baseline"/>
                <w:lang w:eastAsia="zh-CN"/>
              </w:rPr>
              <w:t>、湖北、</w:t>
            </w:r>
            <w:r>
              <w:rPr>
                <w:rFonts w:hint="eastAsia" w:ascii="仿宋" w:hAnsi="仿宋" w:eastAsia="仿宋" w:cs="仿宋"/>
                <w:sz w:val="32"/>
                <w:szCs w:val="32"/>
                <w:vertAlign w:val="baseline"/>
                <w:lang w:val="en-US" w:eastAsia="zh-CN"/>
              </w:rPr>
              <w:t>浙江、宁波、</w:t>
            </w:r>
            <w:r>
              <w:rPr>
                <w:rFonts w:hint="eastAsia" w:ascii="仿宋" w:hAnsi="仿宋" w:eastAsia="仿宋" w:cs="仿宋"/>
                <w:sz w:val="32"/>
                <w:szCs w:val="32"/>
                <w:vertAlign w:val="baseline"/>
                <w:lang w:eastAsia="zh-CN"/>
              </w:rPr>
              <w:t>山东、青岛、</w:t>
            </w:r>
            <w:r>
              <w:rPr>
                <w:rFonts w:hint="eastAsia" w:ascii="仿宋" w:hAnsi="仿宋" w:eastAsia="仿宋" w:cs="仿宋"/>
                <w:sz w:val="32"/>
                <w:szCs w:val="32"/>
                <w:vertAlign w:val="baseline"/>
                <w:lang w:val="en-US" w:eastAsia="zh-CN"/>
              </w:rPr>
              <w:t>天津</w:t>
            </w:r>
          </w:p>
        </w:tc>
        <w:tc>
          <w:tcPr>
            <w:tcW w:w="774" w:type="pct"/>
            <w:vAlign w:val="center"/>
          </w:tcPr>
          <w:p>
            <w:pPr>
              <w:keepNext w:val="0"/>
              <w:keepLines w:val="0"/>
              <w:pageBreakBefore w:val="0"/>
              <w:widowControl w:val="0"/>
              <w:kinsoku w:val="0"/>
              <w:wordWrap/>
              <w:overflowPunct w:val="0"/>
              <w:topLinePunct w:val="0"/>
              <w:autoSpaceDE w:val="0"/>
              <w:autoSpaceDN w:val="0"/>
              <w:bidi w:val="0"/>
              <w:adjustRightInd/>
              <w:snapToGrid/>
              <w:ind w:firstLine="0" w:firstLineChars="0"/>
              <w:jc w:val="center"/>
              <w:textAlignment w:val="auto"/>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11</w:t>
            </w:r>
          </w:p>
        </w:tc>
      </w:tr>
    </w:tbl>
    <w:p>
      <w:pPr>
        <w:keepNext w:val="0"/>
        <w:keepLines w:val="0"/>
        <w:pageBreakBefore w:val="0"/>
        <w:widowControl w:val="0"/>
        <w:numPr>
          <w:ilvl w:val="0"/>
          <w:numId w:val="0"/>
        </w:numPr>
        <w:kinsoku/>
        <w:wordWrap/>
        <w:overflowPunct w:val="0"/>
        <w:topLinePunct w:val="0"/>
        <w:bidi w:val="0"/>
        <w:adjustRightInd/>
        <w:snapToGrid/>
        <w:spacing w:line="600" w:lineRule="exact"/>
        <w:jc w:val="center"/>
        <w:textAlignment w:val="auto"/>
        <w:rPr>
          <w:rFonts w:hint="eastAsia" w:ascii="仿宋" w:hAnsi="仿宋" w:cs="仿宋"/>
          <w:b w:val="0"/>
          <w:bCs w:val="0"/>
          <w:lang w:val="en-US" w:eastAsia="zh-CN"/>
        </w:rPr>
      </w:pPr>
    </w:p>
    <w:p>
      <w:pPr>
        <w:keepNext w:val="0"/>
        <w:keepLines w:val="0"/>
        <w:pageBreakBefore w:val="0"/>
        <w:widowControl w:val="0"/>
        <w:numPr>
          <w:ilvl w:val="0"/>
          <w:numId w:val="0"/>
        </w:numPr>
        <w:kinsoku/>
        <w:wordWrap/>
        <w:overflowPunct w:val="0"/>
        <w:topLinePunct w:val="0"/>
        <w:bidi w:val="0"/>
        <w:adjustRightInd/>
        <w:snapToGrid/>
        <w:spacing w:line="600" w:lineRule="exact"/>
        <w:jc w:val="center"/>
        <w:textAlignment w:val="auto"/>
        <w:outlineLvl w:val="0"/>
        <w:rPr>
          <w:rFonts w:hint="eastAsia" w:ascii="楷体" w:hAnsi="楷体" w:eastAsia="楷体" w:cs="楷体"/>
          <w:b w:val="0"/>
          <w:bCs w:val="0"/>
          <w:lang w:val="en-US" w:eastAsia="zh-CN"/>
        </w:rPr>
      </w:pPr>
    </w:p>
    <w:p>
      <w:pPr>
        <w:keepNext w:val="0"/>
        <w:keepLines w:val="0"/>
        <w:pageBreakBefore w:val="0"/>
        <w:widowControl w:val="0"/>
        <w:numPr>
          <w:ilvl w:val="0"/>
          <w:numId w:val="0"/>
        </w:numPr>
        <w:kinsoku/>
        <w:wordWrap/>
        <w:overflowPunct w:val="0"/>
        <w:topLinePunct w:val="0"/>
        <w:bidi w:val="0"/>
        <w:adjustRightInd/>
        <w:snapToGrid/>
        <w:spacing w:line="600" w:lineRule="exact"/>
        <w:jc w:val="center"/>
        <w:textAlignment w:val="auto"/>
        <w:outlineLvl w:val="0"/>
        <w:rPr>
          <w:rFonts w:hint="eastAsia" w:ascii="楷体" w:hAnsi="楷体" w:eastAsia="楷体" w:cs="楷体"/>
          <w:b w:val="0"/>
          <w:bCs w:val="0"/>
          <w:lang w:val="en-US" w:eastAsia="zh-CN"/>
        </w:rPr>
      </w:pPr>
      <w:r>
        <w:rPr>
          <w:rFonts w:hint="eastAsia" w:ascii="楷体" w:hAnsi="楷体" w:eastAsia="楷体" w:cs="楷体"/>
          <w:b w:val="0"/>
          <w:bCs w:val="0"/>
          <w:lang w:val="en-US" w:eastAsia="zh-CN"/>
        </w:rPr>
        <w:t>《股东来了》2022片区分布图</w:t>
      </w:r>
    </w:p>
    <w:p>
      <w:pPr>
        <w:keepNext w:val="0"/>
        <w:keepLines w:val="0"/>
        <w:pageBreakBefore w:val="0"/>
        <w:widowControl w:val="0"/>
        <w:numPr>
          <w:ilvl w:val="0"/>
          <w:numId w:val="0"/>
        </w:numPr>
        <w:kinsoku/>
        <w:wordWrap/>
        <w:overflowPunct w:val="0"/>
        <w:topLinePunct w:val="0"/>
        <w:bidi w:val="0"/>
        <w:adjustRightInd/>
        <w:snapToGrid/>
        <w:spacing w:line="600" w:lineRule="exact"/>
        <w:jc w:val="center"/>
        <w:textAlignment w:val="auto"/>
        <w:rPr>
          <w:rFonts w:hint="eastAsia" w:ascii="仿宋" w:hAnsi="仿宋" w:cs="仿宋"/>
          <w:b w:val="0"/>
          <w:bCs w:val="0"/>
          <w:lang w:val="en-US" w:eastAsia="zh-CN"/>
        </w:rPr>
      </w:pPr>
      <w:r>
        <w:rPr>
          <w:rFonts w:hint="eastAsia" w:ascii="楷体" w:hAnsi="楷体" w:eastAsia="楷体" w:cs="楷体"/>
          <w:b w:val="0"/>
          <w:bCs w:val="0"/>
          <w:lang w:val="en-US" w:eastAsia="zh-CN"/>
        </w:rPr>
        <w:drawing>
          <wp:anchor distT="0" distB="0" distL="114300" distR="114300" simplePos="0" relativeHeight="251659264" behindDoc="0" locked="0" layoutInCell="1" allowOverlap="1">
            <wp:simplePos x="0" y="0"/>
            <wp:positionH relativeFrom="column">
              <wp:posOffset>195580</wp:posOffset>
            </wp:positionH>
            <wp:positionV relativeFrom="paragraph">
              <wp:posOffset>267335</wp:posOffset>
            </wp:positionV>
            <wp:extent cx="5271135" cy="3767455"/>
            <wp:effectExtent l="0" t="0" r="5715" b="4445"/>
            <wp:wrapTopAndBottom/>
            <wp:docPr id="1" name="图片 1" descr="1646225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6225966(1)"/>
                    <pic:cNvPicPr>
                      <a:picLocks noChangeAspect="1"/>
                    </pic:cNvPicPr>
                  </pic:nvPicPr>
                  <pic:blipFill>
                    <a:blip r:embed="rId5"/>
                    <a:stretch>
                      <a:fillRect/>
                    </a:stretch>
                  </pic:blipFill>
                  <pic:spPr>
                    <a:xfrm>
                      <a:off x="0" y="0"/>
                      <a:ext cx="5271135" cy="3767455"/>
                    </a:xfrm>
                    <a:prstGeom prst="rect">
                      <a:avLst/>
                    </a:prstGeom>
                  </pic:spPr>
                </pic:pic>
              </a:graphicData>
            </a:graphic>
          </wp:anchor>
        </w:drawing>
      </w:r>
    </w:p>
    <w:p>
      <w:pPr>
        <w:keepNext w:val="0"/>
        <w:keepLines w:val="0"/>
        <w:pageBreakBefore w:val="0"/>
        <w:widowControl w:val="0"/>
        <w:kinsoku/>
        <w:wordWrap/>
        <w:overflowPunct w:val="0"/>
        <w:topLinePunct w:val="0"/>
        <w:bidi w:val="0"/>
        <w:adjustRightInd/>
        <w:snapToGrid/>
        <w:spacing w:line="600" w:lineRule="exact"/>
        <w:ind w:left="0" w:leftChars="0" w:firstLine="640" w:firstLineChars="200"/>
        <w:textAlignment w:val="auto"/>
        <w:outlineLvl w:val="0"/>
        <w:rPr>
          <w:rFonts w:hint="default" w:ascii="Times New Roman" w:hAnsi="Times New Roman" w:eastAsia="黑体" w:cs="Times New Roman"/>
          <w:b w:val="0"/>
          <w:bCs w:val="0"/>
          <w:kern w:val="44"/>
          <w:sz w:val="32"/>
          <w:szCs w:val="24"/>
          <w:lang w:val="en-US" w:eastAsia="zh-CN" w:bidi="ar-SA"/>
        </w:rPr>
      </w:pPr>
      <w:r>
        <w:rPr>
          <w:rFonts w:hint="eastAsia" w:ascii="Times New Roman" w:hAnsi="Times New Roman" w:eastAsia="黑体" w:cs="Times New Roman"/>
          <w:b w:val="0"/>
          <w:bCs w:val="0"/>
          <w:kern w:val="44"/>
          <w:sz w:val="32"/>
          <w:szCs w:val="24"/>
          <w:lang w:val="en-US" w:eastAsia="zh-CN" w:bidi="ar-SA"/>
        </w:rPr>
        <w:t>五、赛程赛制</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textAlignment w:val="auto"/>
        <w:outlineLvl w:val="1"/>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（一）初赛</w:t>
      </w:r>
      <w:r>
        <w:rPr>
          <w:rFonts w:hint="eastAsia" w:ascii="Times New Roman" w:hAnsi="Times New Roman" w:eastAsia="楷体" w:cs="Times New Roman"/>
          <w:b/>
          <w:bCs/>
          <w:lang w:val="en-US" w:eastAsia="zh-CN"/>
        </w:rPr>
        <w:t>——网络答题</w:t>
      </w:r>
      <w:r>
        <w:rPr>
          <w:rFonts w:hint="default" w:ascii="Times New Roman" w:hAnsi="Times New Roman" w:eastAsia="楷体" w:cs="Times New Roman"/>
          <w:b/>
          <w:bCs/>
          <w:lang w:val="en-US" w:eastAsia="zh-CN"/>
        </w:rPr>
        <w:t>（6周）</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cs="仿宋"/>
          <w:szCs w:val="32"/>
          <w:lang w:val="en-US" w:eastAsia="zh-CN"/>
        </w:rPr>
      </w:pPr>
      <w:r>
        <w:rPr>
          <w:rFonts w:hint="eastAsia" w:ascii="仿宋" w:hAnsi="仿宋" w:eastAsia="仿宋" w:cs="仿宋"/>
          <w:b w:val="0"/>
          <w:bCs w:val="0"/>
          <w:lang w:val="en-US" w:eastAsia="zh-CN"/>
        </w:rPr>
        <w:t>1.规则介绍：</w:t>
      </w:r>
      <w:r>
        <w:rPr>
          <w:rFonts w:hint="eastAsia" w:ascii="仿宋" w:hAnsi="仿宋" w:cs="仿宋"/>
          <w:b w:val="0"/>
          <w:bCs w:val="0"/>
          <w:lang w:val="en-US" w:eastAsia="zh-CN"/>
        </w:rPr>
        <w:t>网络初赛采用线上答题形式。答题平台将面向社会公众开放，支持个人排位赛、PK对战赛等玩法。今年，平台增设“东东漫游投教世界”板块，以地图形式集中展示全国71家国家级投教基地信息。线上答题</w:t>
      </w:r>
      <w:r>
        <w:rPr>
          <w:rFonts w:hint="eastAsia" w:ascii="仿宋" w:hAnsi="仿宋" w:cs="仿宋"/>
          <w:szCs w:val="32"/>
          <w:lang w:val="en-US" w:eastAsia="zh-CN"/>
        </w:rPr>
        <w:t>根据积分排名，排名靠前的选手有机会参与战队成员选拔；</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szCs w:val="32"/>
          <w:lang w:val="en-US" w:eastAsia="zh-CN"/>
        </w:rPr>
      </w:pPr>
      <w:r>
        <w:rPr>
          <w:rFonts w:hint="eastAsia" w:ascii="仿宋" w:hAnsi="仿宋" w:cs="仿宋"/>
          <w:szCs w:val="32"/>
          <w:lang w:val="en-US" w:eastAsia="zh-CN"/>
        </w:rPr>
        <w:t>2</w:t>
      </w:r>
      <w:r>
        <w:rPr>
          <w:rFonts w:hint="eastAsia" w:ascii="仿宋" w:hAnsi="仿宋" w:eastAsia="仿宋" w:cs="仿宋"/>
          <w:szCs w:val="32"/>
          <w:lang w:val="en-US" w:eastAsia="zh-CN"/>
        </w:rPr>
        <w:t>. 奖励：按奖励规则发放答题奖金</w:t>
      </w:r>
      <w:r>
        <w:rPr>
          <w:rFonts w:hint="eastAsia" w:ascii="仿宋" w:hAnsi="仿宋" w:cs="仿宋"/>
          <w:szCs w:val="32"/>
          <w:lang w:val="en-US"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szCs w:val="32"/>
          <w:lang w:eastAsia="zh-CN"/>
        </w:rPr>
      </w:pPr>
      <w:r>
        <w:rPr>
          <w:rFonts w:hint="eastAsia" w:ascii="仿宋" w:hAnsi="仿宋" w:cs="仿宋"/>
          <w:b w:val="0"/>
          <w:bCs w:val="0"/>
          <w:lang w:val="en-US" w:eastAsia="zh-CN"/>
        </w:rPr>
        <w:t>3</w:t>
      </w:r>
      <w:r>
        <w:rPr>
          <w:rFonts w:hint="eastAsia" w:ascii="仿宋" w:hAnsi="仿宋" w:eastAsia="仿宋" w:cs="仿宋"/>
          <w:b w:val="0"/>
          <w:bCs w:val="0"/>
          <w:lang w:val="en-US" w:eastAsia="zh-CN"/>
        </w:rPr>
        <w:t>. 参赛渠道：中国投资者网微信公众号、投服中心微信公众号、</w:t>
      </w:r>
      <w:r>
        <w:rPr>
          <w:rFonts w:hint="eastAsia" w:ascii="仿宋" w:hAnsi="仿宋" w:eastAsia="仿宋" w:cs="仿宋"/>
          <w:szCs w:val="32"/>
          <w:lang w:eastAsia="zh-CN"/>
        </w:rPr>
        <w:t>各赛区组织方公众号、各合作媒体平台等</w:t>
      </w:r>
      <w:r>
        <w:rPr>
          <w:rFonts w:hint="eastAsia" w:ascii="仿宋" w:hAnsi="仿宋" w:cs="仿宋"/>
          <w:szCs w:val="32"/>
          <w:lang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textAlignment w:val="auto"/>
        <w:outlineLvl w:val="1"/>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（二）战队组建</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1.</w:t>
      </w:r>
      <w:r>
        <w:rPr>
          <w:rFonts w:hint="eastAsia" w:ascii="仿宋" w:hAnsi="仿宋" w:cs="仿宋"/>
          <w:b w:val="0"/>
          <w:bCs w:val="0"/>
          <w:lang w:val="en-US" w:eastAsia="zh-CN"/>
        </w:rPr>
        <w:t>参赛队伍：在四片区组建战队基础上，引入1支基金公司战队，决赛将有5支战队同台竞技。公平起见，该基金战队仅作为助力战队参赛，不参与决赛排名；</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b w:val="0"/>
          <w:bCs w:val="0"/>
          <w:lang w:val="en-US" w:eastAsia="zh-CN"/>
        </w:rPr>
      </w:pPr>
      <w:r>
        <w:rPr>
          <w:rFonts w:hint="eastAsia" w:ascii="仿宋" w:hAnsi="仿宋" w:cs="仿宋"/>
          <w:b w:val="0"/>
          <w:bCs w:val="0"/>
          <w:lang w:val="en-US" w:eastAsia="zh-CN"/>
        </w:rPr>
        <w:t>2.队员选拔</w:t>
      </w:r>
      <w:r>
        <w:rPr>
          <w:rFonts w:hint="eastAsia" w:ascii="仿宋" w:hAnsi="仿宋" w:eastAsia="仿宋" w:cs="仿宋"/>
          <w:b w:val="0"/>
          <w:bCs w:val="0"/>
          <w:lang w:val="en-US" w:eastAsia="zh-CN"/>
        </w:rPr>
        <w:t>：</w:t>
      </w:r>
      <w:r>
        <w:rPr>
          <w:rFonts w:hint="eastAsia" w:ascii="仿宋" w:hAnsi="仿宋" w:cs="仿宋"/>
          <w:b w:val="0"/>
          <w:bCs w:val="0"/>
          <w:lang w:val="en-US" w:eastAsia="zh-CN"/>
        </w:rPr>
        <w:t>选拔方式不限，各片区可自主组织策划；</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b w:val="0"/>
          <w:bCs w:val="0"/>
          <w:lang w:val="en-US" w:eastAsia="zh-CN"/>
        </w:rPr>
      </w:pPr>
      <w:r>
        <w:rPr>
          <w:rFonts w:hint="eastAsia" w:ascii="仿宋" w:hAnsi="仿宋" w:cs="仿宋"/>
          <w:b w:val="0"/>
          <w:bCs w:val="0"/>
          <w:lang w:val="en-US" w:eastAsia="zh-CN"/>
        </w:rPr>
        <w:t>3.</w:t>
      </w:r>
      <w:r>
        <w:rPr>
          <w:rFonts w:hint="eastAsia" w:ascii="仿宋" w:hAnsi="仿宋" w:eastAsia="仿宋" w:cs="仿宋"/>
          <w:b w:val="0"/>
          <w:bCs w:val="0"/>
          <w:lang w:val="en-US" w:eastAsia="zh-CN"/>
        </w:rPr>
        <w:t>选拔结果：</w:t>
      </w:r>
      <w:r>
        <w:rPr>
          <w:rFonts w:hint="eastAsia" w:ascii="仿宋" w:hAnsi="仿宋" w:cs="仿宋"/>
          <w:b w:val="0"/>
          <w:bCs w:val="0"/>
          <w:lang w:val="en-US" w:eastAsia="zh-CN"/>
        </w:rPr>
        <w:t>各战队</w:t>
      </w:r>
      <w:r>
        <w:rPr>
          <w:rFonts w:hint="eastAsia" w:ascii="仿宋" w:hAnsi="仿宋" w:eastAsia="仿宋" w:cs="仿宋"/>
          <w:b w:val="0"/>
          <w:bCs w:val="0"/>
          <w:lang w:val="en-US" w:eastAsia="zh-CN"/>
        </w:rPr>
        <w:t>按照不多于2名证券从业人员的要求分别选出5名选手（预留替补选手），组建战队参加决赛</w:t>
      </w:r>
      <w:r>
        <w:rPr>
          <w:rFonts w:hint="eastAsia" w:ascii="仿宋" w:hAnsi="仿宋" w:cs="仿宋"/>
          <w:b w:val="0"/>
          <w:bCs w:val="0"/>
          <w:lang w:val="en-US" w:eastAsia="zh-CN"/>
        </w:rPr>
        <w:t>。</w:t>
      </w:r>
      <w:r>
        <w:rPr>
          <w:rFonts w:hint="eastAsia" w:ascii="仿宋" w:hAnsi="仿宋" w:eastAsia="仿宋" w:cs="仿宋"/>
          <w:b w:val="0"/>
          <w:bCs w:val="0"/>
          <w:lang w:val="en-US" w:eastAsia="zh-CN"/>
        </w:rPr>
        <w:t>每支战队需配备1名领队</w:t>
      </w:r>
      <w:r>
        <w:rPr>
          <w:rFonts w:hint="eastAsia" w:ascii="仿宋" w:hAnsi="仿宋" w:cs="仿宋"/>
          <w:b w:val="0"/>
          <w:bCs w:val="0"/>
          <w:lang w:val="en-US"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textAlignment w:val="auto"/>
        <w:outlineLvl w:val="1"/>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w:t>
      </w:r>
      <w:r>
        <w:rPr>
          <w:rFonts w:hint="eastAsia" w:ascii="Times New Roman" w:hAnsi="Times New Roman" w:eastAsia="楷体" w:cs="Times New Roman"/>
          <w:b/>
          <w:bCs/>
          <w:lang w:val="en-US" w:eastAsia="zh-CN"/>
        </w:rPr>
        <w:t>三</w:t>
      </w:r>
      <w:r>
        <w:rPr>
          <w:rFonts w:hint="default" w:ascii="Times New Roman" w:hAnsi="Times New Roman" w:eastAsia="楷体" w:cs="Times New Roman"/>
          <w:b/>
          <w:bCs/>
          <w:lang w:val="en-US" w:eastAsia="zh-CN"/>
        </w:rPr>
        <w:t>）</w:t>
      </w:r>
      <w:r>
        <w:rPr>
          <w:rFonts w:hint="eastAsia" w:ascii="Times New Roman" w:hAnsi="Times New Roman" w:eastAsia="楷体" w:cs="Times New Roman"/>
          <w:b/>
          <w:bCs/>
          <w:lang w:val="en-US" w:eastAsia="zh-CN"/>
        </w:rPr>
        <w:t>总决赛</w:t>
      </w:r>
      <w:r>
        <w:rPr>
          <w:rFonts w:hint="default" w:ascii="Times New Roman" w:hAnsi="Times New Roman" w:eastAsia="楷体" w:cs="Times New Roman"/>
          <w:b/>
          <w:bCs/>
          <w:lang w:val="en-US" w:eastAsia="zh-CN"/>
        </w:rPr>
        <w:t>（</w:t>
      </w:r>
      <w:r>
        <w:rPr>
          <w:rFonts w:hint="eastAsia" w:ascii="Times New Roman" w:hAnsi="Times New Roman" w:eastAsia="楷体" w:cs="Times New Roman"/>
          <w:b/>
          <w:bCs/>
          <w:lang w:val="en-US" w:eastAsia="zh-CN"/>
        </w:rPr>
        <w:t>1</w:t>
      </w:r>
      <w:r>
        <w:rPr>
          <w:rFonts w:hint="default" w:ascii="Times New Roman" w:hAnsi="Times New Roman" w:eastAsia="楷体" w:cs="Times New Roman"/>
          <w:b/>
          <w:bCs/>
          <w:lang w:val="en-US" w:eastAsia="zh-CN"/>
        </w:rPr>
        <w:t>场）</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1.训练营：5支战队拟于8月</w:t>
      </w:r>
      <w:r>
        <w:rPr>
          <w:rFonts w:hint="eastAsia" w:ascii="仿宋" w:hAnsi="仿宋" w:cs="仿宋"/>
          <w:szCs w:val="32"/>
          <w:lang w:val="en-US" w:eastAsia="zh-CN"/>
        </w:rPr>
        <w:t>共</w:t>
      </w:r>
      <w:r>
        <w:rPr>
          <w:rFonts w:hint="eastAsia" w:ascii="仿宋" w:hAnsi="仿宋" w:eastAsia="仿宋" w:cs="仿宋"/>
          <w:szCs w:val="32"/>
          <w:lang w:val="en-US" w:eastAsia="zh-CN"/>
        </w:rPr>
        <w:t>聚长沙，围绕舞台表现力、决赛规则等内容进行集中培训，确定最终参赛阵容</w:t>
      </w:r>
      <w:r>
        <w:rPr>
          <w:rFonts w:hint="eastAsia" w:ascii="仿宋" w:hAnsi="仿宋" w:cs="仿宋"/>
          <w:szCs w:val="32"/>
          <w:lang w:val="en-US"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cs="仿宋"/>
          <w:szCs w:val="32"/>
          <w:lang w:val="en-US" w:eastAsia="zh-CN"/>
        </w:rPr>
      </w:pPr>
      <w:r>
        <w:rPr>
          <w:rFonts w:hint="eastAsia" w:ascii="仿宋" w:hAnsi="仿宋" w:cs="仿宋"/>
          <w:szCs w:val="32"/>
          <w:lang w:val="en-US" w:eastAsia="zh-CN"/>
        </w:rPr>
        <w:t>2.决赛录制：5</w:t>
      </w:r>
      <w:r>
        <w:rPr>
          <w:rFonts w:hint="eastAsia" w:ascii="仿宋" w:hAnsi="仿宋" w:eastAsia="仿宋" w:cs="仿宋"/>
          <w:szCs w:val="32"/>
          <w:lang w:val="en-US" w:eastAsia="zh-CN"/>
        </w:rPr>
        <w:t>支战队通过一场总决赛角逐冠亚军</w:t>
      </w:r>
      <w:r>
        <w:rPr>
          <w:rFonts w:hint="eastAsia" w:ascii="仿宋" w:hAnsi="仿宋" w:cs="仿宋"/>
          <w:szCs w:val="32"/>
          <w:lang w:val="en-US" w:eastAsia="zh-CN"/>
        </w:rPr>
        <w:t>。在</w:t>
      </w:r>
      <w:r>
        <w:rPr>
          <w:rFonts w:hint="eastAsia" w:ascii="仿宋" w:hAnsi="仿宋" w:cs="仿宋"/>
          <w:b w:val="0"/>
          <w:bCs w:val="0"/>
          <w:szCs w:val="32"/>
          <w:lang w:val="en-US" w:eastAsia="zh-CN"/>
        </w:rPr>
        <w:t>初赛与短视频大赛中成绩突出的片区战队将有机会在总决赛中获得额外助力</w:t>
      </w:r>
      <w:r>
        <w:rPr>
          <w:rFonts w:hint="eastAsia" w:ascii="仿宋" w:hAnsi="仿宋" w:cs="仿宋"/>
          <w:szCs w:val="32"/>
          <w:lang w:val="en-US"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default" w:ascii="仿宋" w:hAnsi="仿宋" w:cs="仿宋"/>
          <w:szCs w:val="32"/>
          <w:lang w:val="en-US" w:eastAsia="zh-CN"/>
        </w:rPr>
      </w:pPr>
      <w:r>
        <w:rPr>
          <w:rFonts w:hint="eastAsia" w:ascii="仿宋" w:hAnsi="仿宋" w:cs="仿宋"/>
          <w:szCs w:val="32"/>
          <w:lang w:val="en-US" w:eastAsia="zh-CN"/>
        </w:rPr>
        <w:t>3.决赛播出：计划于9月在湖南卫视、芒果TV双平台播出。</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outlineLvl w:val="0"/>
        <w:rPr>
          <w:rFonts w:hint="eastAsia" w:ascii="Times New Roman" w:hAnsi="Times New Roman" w:eastAsia="黑体" w:cs="Times New Roman"/>
          <w:kern w:val="44"/>
          <w:sz w:val="32"/>
          <w:szCs w:val="24"/>
          <w:lang w:val="en-US" w:eastAsia="zh-CN" w:bidi="ar-SA"/>
        </w:rPr>
      </w:pPr>
      <w:r>
        <w:rPr>
          <w:rFonts w:hint="eastAsia" w:ascii="Times New Roman" w:hAnsi="Times New Roman" w:eastAsia="黑体" w:cs="Times New Roman"/>
          <w:kern w:val="44"/>
          <w:sz w:val="32"/>
          <w:szCs w:val="24"/>
          <w:lang w:val="en-US" w:eastAsia="zh-CN" w:bidi="ar-SA"/>
        </w:rPr>
        <w:t>六、短视频大赛</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cs="仿宋"/>
          <w:b w:val="0"/>
          <w:bCs w:val="0"/>
          <w:lang w:val="en-US" w:eastAsia="zh-CN"/>
        </w:rPr>
      </w:pPr>
      <w:r>
        <w:rPr>
          <w:rFonts w:hint="eastAsia" w:ascii="仿宋" w:hAnsi="仿宋" w:eastAsia="仿宋" w:cs="仿宋"/>
          <w:b w:val="0"/>
          <w:bCs w:val="0"/>
          <w:lang w:val="en-US" w:eastAsia="zh-CN"/>
        </w:rPr>
        <w:t>在</w:t>
      </w:r>
      <w:r>
        <w:rPr>
          <w:rFonts w:hint="eastAsia" w:ascii="仿宋" w:hAnsi="仿宋" w:cs="仿宋"/>
          <w:b w:val="0"/>
          <w:bCs w:val="0"/>
          <w:lang w:val="en-US" w:eastAsia="zh-CN"/>
        </w:rPr>
        <w:t>《股东来了》创立五周年之际，投服中心拟增设短视频大赛活动。为进一步落实证监会重点工作部署，大赛拟以“你好，注册制！”为主题，在“抖音”平台面向社会广泛征集原创投教短视频作品，旨在以投资者喜闻乐见的方式强化注册制宣传普及。</w:t>
      </w:r>
    </w:p>
    <w:p>
      <w:pPr>
        <w:keepNext w:val="0"/>
        <w:keepLines w:val="0"/>
        <w:pageBreakBefore w:val="0"/>
        <w:widowControl w:val="0"/>
        <w:numPr>
          <w:ilvl w:val="0"/>
          <w:numId w:val="0"/>
        </w:numPr>
        <w:kinsoku/>
        <w:wordWrap/>
        <w:overflowPunct w:val="0"/>
        <w:topLinePunct w:val="0"/>
        <w:bidi w:val="0"/>
        <w:adjustRightInd/>
        <w:snapToGrid/>
        <w:ind w:firstLine="640" w:firstLineChars="200"/>
        <w:textAlignment w:val="auto"/>
        <w:rPr>
          <w:rFonts w:hint="default" w:ascii="仿宋" w:hAnsi="仿宋" w:cs="仿宋"/>
          <w:b w:val="0"/>
          <w:bCs w:val="0"/>
          <w:lang w:val="en-US" w:eastAsia="zh-Hans"/>
        </w:rPr>
      </w:pPr>
      <w:r>
        <w:rPr>
          <w:rFonts w:hint="eastAsia" w:ascii="Times New Roman" w:hAnsi="Times New Roman" w:eastAsia="方正仿宋简体" w:cs="Times New Roman"/>
          <w:sz w:val="32"/>
          <w:szCs w:val="32"/>
          <w:lang w:eastAsia="zh-CN"/>
        </w:rPr>
        <w:t>征集结束后</w:t>
      </w:r>
      <w:r>
        <w:rPr>
          <w:rFonts w:hint="eastAsia" w:ascii="Times New Roman" w:hAnsi="Times New Roman" w:eastAsia="方正仿宋简体" w:cs="Times New Roman"/>
          <w:b w:val="0"/>
          <w:bCs w:val="0"/>
          <w:sz w:val="32"/>
          <w:szCs w:val="32"/>
          <w:highlight w:val="none"/>
          <w:lang w:eastAsia="zh-CN"/>
        </w:rPr>
        <w:t>，由各片区分别组织推荐</w:t>
      </w:r>
      <w:r>
        <w:rPr>
          <w:rFonts w:hint="eastAsia" w:ascii="Times New Roman" w:hAnsi="Times New Roman" w:eastAsia="方正仿宋简体" w:cs="Times New Roman"/>
          <w:b w:val="0"/>
          <w:bCs w:val="0"/>
          <w:sz w:val="32"/>
          <w:szCs w:val="32"/>
          <w:highlight w:val="none"/>
          <w:lang w:val="en-US" w:eastAsia="zh-CN"/>
        </w:rPr>
        <w:t>12只优秀作品</w:t>
      </w:r>
      <w:r>
        <w:rPr>
          <w:rFonts w:hint="default" w:ascii="Times New Roman" w:hAnsi="Times New Roman" w:eastAsia="方正仿宋简体" w:cs="Times New Roman"/>
          <w:sz w:val="32"/>
          <w:szCs w:val="32"/>
          <w:lang w:eastAsia="zh-Hans"/>
        </w:rPr>
        <w:t>，</w:t>
      </w:r>
      <w:r>
        <w:rPr>
          <w:rFonts w:hint="eastAsia" w:ascii="Times New Roman" w:hAnsi="Times New Roman" w:eastAsia="方正仿宋简体" w:cs="Times New Roman"/>
          <w:sz w:val="32"/>
          <w:szCs w:val="32"/>
          <w:lang w:eastAsia="zh-CN"/>
        </w:rPr>
        <w:t>随后由</w:t>
      </w:r>
      <w:r>
        <w:rPr>
          <w:rFonts w:hint="default" w:ascii="Times New Roman" w:hAnsi="Times New Roman" w:eastAsia="方正仿宋简体" w:cs="Times New Roman"/>
          <w:sz w:val="32"/>
          <w:szCs w:val="32"/>
          <w:lang w:val="en-US" w:eastAsia="zh-Hans"/>
        </w:rPr>
        <w:t>主办方对优秀作品进行展播</w:t>
      </w:r>
      <w:r>
        <w:rPr>
          <w:rFonts w:hint="eastAsia" w:ascii="Times New Roman" w:hAnsi="Times New Roman" w:eastAsia="方正仿宋简体" w:cs="Times New Roman"/>
          <w:sz w:val="32"/>
          <w:szCs w:val="32"/>
          <w:lang w:val="en-US" w:eastAsia="zh-CN"/>
        </w:rPr>
        <w:t>及专家评选。</w:t>
      </w:r>
      <w:r>
        <w:rPr>
          <w:rFonts w:hint="eastAsia" w:ascii="仿宋" w:hAnsi="仿宋" w:eastAsia="仿宋" w:cs="仿宋"/>
          <w:lang w:val="en-US" w:eastAsia="zh-CN"/>
        </w:rPr>
        <w:t>为鼓励更多普通投资者参与，大赛</w:t>
      </w:r>
      <w:r>
        <w:rPr>
          <w:rFonts w:hint="eastAsia" w:ascii="仿宋" w:hAnsi="仿宋" w:cs="仿宋"/>
          <w:lang w:val="en-US" w:eastAsia="zh-CN"/>
        </w:rPr>
        <w:t>将</w:t>
      </w:r>
      <w:r>
        <w:rPr>
          <w:rFonts w:hint="eastAsia" w:ascii="仿宋" w:hAnsi="仿宋" w:eastAsia="仿宋" w:cs="仿宋"/>
          <w:lang w:val="en-US" w:eastAsia="zh-CN"/>
        </w:rPr>
        <w:t>设置片区、社会大众双赛道</w:t>
      </w:r>
      <w:r>
        <w:rPr>
          <w:rFonts w:hint="eastAsia" w:ascii="仿宋" w:hAnsi="仿宋" w:cs="仿宋"/>
          <w:lang w:val="en-US"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outlineLvl w:val="0"/>
        <w:rPr>
          <w:rFonts w:hint="eastAsia" w:ascii="Times New Roman" w:hAnsi="Times New Roman" w:eastAsia="方正仿宋简体" w:cs="Times New Roman"/>
          <w:sz w:val="32"/>
          <w:szCs w:val="32"/>
          <w:highlight w:val="yellow"/>
          <w:lang w:val="en-US" w:eastAsia="zh-CN"/>
        </w:rPr>
      </w:pPr>
      <w:r>
        <w:rPr>
          <w:rFonts w:hint="eastAsia" w:ascii="Times New Roman" w:hAnsi="Times New Roman" w:eastAsia="黑体" w:cs="Times New Roman"/>
          <w:kern w:val="44"/>
          <w:sz w:val="32"/>
          <w:szCs w:val="24"/>
          <w:lang w:val="en-US" w:eastAsia="zh-CN" w:bidi="ar-SA"/>
        </w:rPr>
        <w:t>七、奖项设置</w:t>
      </w:r>
    </w:p>
    <w:p>
      <w:pPr>
        <w:numPr>
          <w:ilvl w:val="0"/>
          <w:numId w:val="0"/>
        </w:numPr>
        <w:ind w:firstLine="640"/>
        <w:jc w:val="both"/>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（一）组织奖项</w:t>
      </w:r>
    </w:p>
    <w:p>
      <w:pPr>
        <w:numPr>
          <w:ilvl w:val="0"/>
          <w:numId w:val="0"/>
        </w:numPr>
        <w:ind w:firstLine="640"/>
        <w:jc w:val="both"/>
        <w:outlineLvl w:val="2"/>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对在本次活动中组织成效显著、竞赛成绩突出的赛区证监局、协会、市场主体以及为活动宣推工作作出贡献的媒体单位颁发荣誉证书。</w:t>
      </w:r>
    </w:p>
    <w:p>
      <w:pPr>
        <w:numPr>
          <w:ilvl w:val="0"/>
          <w:numId w:val="3"/>
        </w:numPr>
        <w:ind w:firstLine="640"/>
        <w:jc w:val="both"/>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个人奖项</w:t>
      </w:r>
    </w:p>
    <w:p>
      <w:pPr>
        <w:numPr>
          <w:ilvl w:val="0"/>
          <w:numId w:val="0"/>
        </w:numPr>
        <w:jc w:val="both"/>
        <w:outlineLvl w:val="2"/>
        <w:rPr>
          <w:rFonts w:hint="eastAsia" w:ascii="方正仿宋简体" w:hAnsi="方正仿宋简体" w:eastAsia="方正仿宋简体" w:cs="方正仿宋简体"/>
          <w:sz w:val="32"/>
          <w:szCs w:val="32"/>
          <w:lang w:val="en-US" w:eastAsia="zh-CN"/>
        </w:rPr>
      </w:pPr>
      <w:r>
        <w:rPr>
          <w:rFonts w:hint="eastAsia" w:ascii="楷体" w:hAnsi="楷体" w:eastAsia="楷体" w:cs="楷体"/>
          <w:sz w:val="32"/>
          <w:szCs w:val="32"/>
          <w:lang w:val="en-US" w:eastAsia="zh-CN"/>
        </w:rPr>
        <w:t xml:space="preserve">    </w:t>
      </w:r>
      <w:r>
        <w:rPr>
          <w:rFonts w:hint="eastAsia" w:ascii="方正仿宋简体" w:hAnsi="方正仿宋简体" w:eastAsia="方正仿宋简体" w:cs="方正仿宋简体"/>
          <w:sz w:val="32"/>
          <w:szCs w:val="32"/>
          <w:lang w:val="en-US" w:eastAsia="zh-CN"/>
        </w:rPr>
        <w:t>1.对在本次活动组织推广工作中表现突出的工作人员颁发荣誉证书；</w:t>
      </w:r>
    </w:p>
    <w:p>
      <w:pPr>
        <w:numPr>
          <w:ilvl w:val="0"/>
          <w:numId w:val="0"/>
        </w:numPr>
        <w:ind w:firstLine="640"/>
        <w:jc w:val="both"/>
        <w:outlineLvl w:val="2"/>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2.根据活动规则，答题积分排名靠前的选手有机会获得现金奖励；</w:t>
      </w:r>
    </w:p>
    <w:p>
      <w:pPr>
        <w:numPr>
          <w:ilvl w:val="0"/>
          <w:numId w:val="0"/>
        </w:numPr>
        <w:ind w:firstLine="640"/>
        <w:jc w:val="both"/>
        <w:outlineLvl w:val="2"/>
        <w:rPr>
          <w:rFonts w:hint="default" w:ascii="仿宋" w:hAnsi="仿宋" w:cs="仿宋"/>
          <w:lang w:val="en-US" w:eastAsia="zh-CN"/>
        </w:rPr>
      </w:pPr>
      <w:r>
        <w:rPr>
          <w:rFonts w:hint="eastAsia" w:ascii="方正仿宋简体" w:hAnsi="方正仿宋简体" w:eastAsia="方正仿宋简体" w:cs="方正仿宋简体"/>
          <w:sz w:val="32"/>
          <w:szCs w:val="32"/>
          <w:lang w:val="en-US" w:eastAsia="zh-CN"/>
        </w:rPr>
        <w:t>3.根据大赛规则，优秀短视频作者将获得荣誉奖励。</w:t>
      </w:r>
    </w:p>
    <w:p>
      <w:pPr>
        <w:pStyle w:val="2"/>
        <w:keepNext w:val="0"/>
        <w:keepLines w:val="0"/>
        <w:pageBreakBefore w:val="0"/>
        <w:widowControl w:val="0"/>
        <w:kinsoku/>
        <w:wordWrap/>
        <w:overflowPunct w:val="0"/>
        <w:topLinePunct w:val="0"/>
        <w:bidi w:val="0"/>
        <w:adjustRightInd/>
        <w:snapToGrid/>
        <w:ind w:left="0" w:leftChars="0" w:firstLine="640" w:firstLineChars="200"/>
        <w:textAlignment w:val="auto"/>
        <w:outlineLvl w:val="0"/>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八、</w:t>
      </w:r>
      <w:r>
        <w:rPr>
          <w:rFonts w:hint="default" w:ascii="Times New Roman" w:hAnsi="Times New Roman" w:cs="Times New Roman"/>
          <w:b w:val="0"/>
          <w:bCs w:val="0"/>
          <w:lang w:val="en-US" w:eastAsia="zh-CN"/>
        </w:rPr>
        <w:t>宣传推广</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楷体" w:cs="Times New Roman"/>
          <w:b w:val="0"/>
          <w:bCs w:val="0"/>
          <w:lang w:val="en-US" w:eastAsia="zh-CN"/>
        </w:rPr>
      </w:pPr>
      <w:r>
        <w:rPr>
          <w:rFonts w:hint="eastAsia" w:ascii="仿宋" w:hAnsi="仿宋" w:cs="仿宋"/>
          <w:lang w:val="en-US" w:eastAsia="zh-CN"/>
        </w:rPr>
        <w:t>《股东来了》2022将进一步加强活动宣传推广。一是丰富各类宣推素材，包括活动介绍短片及宣推短视频等；二是</w:t>
      </w:r>
      <w:r>
        <w:rPr>
          <w:rFonts w:hint="eastAsia" w:ascii="仿宋" w:hAnsi="仿宋" w:eastAsia="仿宋" w:cs="仿宋"/>
          <w:lang w:val="en-US" w:eastAsia="zh-CN"/>
        </w:rPr>
        <w:t>继续加强媒体合作，</w:t>
      </w:r>
      <w:r>
        <w:rPr>
          <w:rFonts w:hint="eastAsia" w:ascii="仿宋" w:hAnsi="仿宋" w:cs="仿宋"/>
          <w:lang w:val="en-US" w:eastAsia="zh-CN"/>
        </w:rPr>
        <w:t>联合各片区与主流财经媒体形成宣推矩阵，</w:t>
      </w:r>
      <w:r>
        <w:rPr>
          <w:rFonts w:hint="eastAsia" w:ascii="仿宋" w:hAnsi="仿宋" w:eastAsia="仿宋" w:cs="仿宋"/>
          <w:b w:val="0"/>
          <w:bCs w:val="0"/>
          <w:lang w:val="en-US" w:eastAsia="zh-CN"/>
        </w:rPr>
        <w:t>在实现本届活动宣推效果的同时提升中国投资者网及配套微信公众号媒体曝光度</w:t>
      </w:r>
      <w:r>
        <w:rPr>
          <w:rFonts w:hint="eastAsia" w:ascii="仿宋" w:hAnsi="仿宋" w:cs="仿宋"/>
          <w:b w:val="0"/>
          <w:bCs w:val="0"/>
          <w:lang w:val="en-US" w:eastAsia="zh-CN"/>
        </w:rPr>
        <w:t>；三是</w:t>
      </w:r>
      <w:r>
        <w:rPr>
          <w:rFonts w:hint="eastAsia" w:ascii="仿宋" w:hAnsi="仿宋" w:eastAsia="仿宋" w:cs="仿宋"/>
          <w:b w:val="0"/>
          <w:bCs w:val="0"/>
          <w:lang w:val="en-US" w:eastAsia="zh-CN"/>
        </w:rPr>
        <w:t>拟配合</w:t>
      </w:r>
      <w:r>
        <w:rPr>
          <w:rFonts w:hint="eastAsia" w:ascii="仿宋" w:hAnsi="仿宋" w:cs="仿宋"/>
          <w:b w:val="0"/>
          <w:bCs w:val="0"/>
          <w:lang w:val="en-US" w:eastAsia="zh-CN"/>
        </w:rPr>
        <w:t>2022年</w:t>
      </w:r>
      <w:r>
        <w:rPr>
          <w:rFonts w:hint="eastAsia" w:ascii="仿宋" w:hAnsi="仿宋" w:eastAsia="仿宋" w:cs="仿宋"/>
          <w:b w:val="0"/>
          <w:bCs w:val="0"/>
          <w:lang w:val="en-US" w:eastAsia="zh-CN"/>
        </w:rPr>
        <w:t>“5·15全国投资者保护宣传日”活动开展《股东来了》202</w:t>
      </w:r>
      <w:r>
        <w:rPr>
          <w:rFonts w:hint="eastAsia" w:ascii="仿宋" w:hAnsi="仿宋" w:cs="仿宋"/>
          <w:b w:val="0"/>
          <w:bCs w:val="0"/>
          <w:lang w:val="en-US" w:eastAsia="zh-CN"/>
        </w:rPr>
        <w:t>2</w:t>
      </w:r>
      <w:r>
        <w:rPr>
          <w:rFonts w:hint="eastAsia" w:ascii="仿宋" w:hAnsi="仿宋" w:eastAsia="仿宋" w:cs="仿宋"/>
          <w:b w:val="0"/>
          <w:bCs w:val="0"/>
          <w:lang w:val="en-US" w:eastAsia="zh-CN"/>
        </w:rPr>
        <w:t>启动宣传</w:t>
      </w:r>
      <w:r>
        <w:rPr>
          <w:rFonts w:hint="eastAsia" w:ascii="仿宋" w:hAnsi="仿宋" w:cs="仿宋"/>
          <w:b w:val="0"/>
          <w:bCs w:val="0"/>
          <w:lang w:val="en-US" w:eastAsia="zh-CN"/>
        </w:rPr>
        <w:t>；四是在开赛首周设置“注册制”主题专周，强化注册制宣传普及。</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outlineLvl w:val="0"/>
        <w:rPr>
          <w:rFonts w:hint="eastAsia" w:ascii="Times New Roman" w:hAnsi="Times New Roman" w:eastAsia="黑体" w:cs="Times New Roman"/>
          <w:kern w:val="44"/>
          <w:sz w:val="32"/>
          <w:szCs w:val="24"/>
          <w:lang w:val="en-US" w:eastAsia="zh-CN" w:bidi="ar-SA"/>
        </w:rPr>
      </w:pPr>
      <w:r>
        <w:rPr>
          <w:rFonts w:hint="eastAsia" w:ascii="Times New Roman" w:hAnsi="Times New Roman" w:eastAsia="黑体" w:cs="Times New Roman"/>
          <w:kern w:val="44"/>
          <w:sz w:val="32"/>
          <w:szCs w:val="24"/>
          <w:lang w:val="en-US" w:eastAsia="zh-CN" w:bidi="ar-SA"/>
        </w:rPr>
        <w:t>九、活动组织分工</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（一）中国证监会办公厅、投资者保护局作为本次活动的指导单位，负责全赛程的监管支持和指导协调</w:t>
      </w:r>
      <w:r>
        <w:rPr>
          <w:rFonts w:hint="eastAsia" w:ascii="仿宋" w:hAnsi="仿宋" w:cs="仿宋"/>
          <w:b w:val="0"/>
          <w:bCs w:val="0"/>
          <w:lang w:val="en-US"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（二）中证中小投资者服务中心负责</w:t>
      </w:r>
      <w:r>
        <w:rPr>
          <w:rFonts w:hint="eastAsia" w:ascii="仿宋" w:hAnsi="仿宋" w:cs="仿宋"/>
          <w:b w:val="0"/>
          <w:bCs w:val="0"/>
          <w:lang w:val="en-US" w:eastAsia="zh-CN"/>
        </w:rPr>
        <w:t>全赛程</w:t>
      </w:r>
      <w:r>
        <w:rPr>
          <w:rFonts w:hint="eastAsia" w:ascii="仿宋" w:hAnsi="仿宋" w:eastAsia="仿宋" w:cs="仿宋"/>
          <w:b w:val="0"/>
          <w:bCs w:val="0"/>
          <w:lang w:val="en-US" w:eastAsia="zh-CN"/>
        </w:rPr>
        <w:t>的组织策划，</w:t>
      </w:r>
      <w:r>
        <w:rPr>
          <w:rFonts w:hint="eastAsia" w:ascii="仿宋" w:hAnsi="仿宋" w:cs="仿宋"/>
          <w:b w:val="0"/>
          <w:bCs w:val="0"/>
          <w:lang w:val="en-US" w:eastAsia="zh-CN"/>
        </w:rPr>
        <w:t>四</w:t>
      </w:r>
      <w:r>
        <w:rPr>
          <w:rFonts w:hint="eastAsia" w:ascii="仿宋" w:hAnsi="仿宋" w:eastAsia="仿宋" w:cs="仿宋"/>
          <w:b w:val="0"/>
          <w:bCs w:val="0"/>
          <w:lang w:val="en-US" w:eastAsia="zh-CN"/>
        </w:rPr>
        <w:t>大片区证监局负责牵头组织所属片区的赛事与宣推活动</w:t>
      </w:r>
      <w:r>
        <w:rPr>
          <w:rFonts w:hint="eastAsia" w:ascii="仿宋" w:hAnsi="仿宋" w:cs="仿宋"/>
          <w:b w:val="0"/>
          <w:bCs w:val="0"/>
          <w:lang w:val="en-US" w:eastAsia="zh-CN"/>
        </w:rPr>
        <w:t>；</w:t>
      </w:r>
    </w:p>
    <w:p>
      <w:pPr>
        <w:keepNext w:val="0"/>
        <w:keepLines w:val="0"/>
        <w:pageBreakBefore w:val="0"/>
        <w:widowControl w:val="0"/>
        <w:numPr>
          <w:ilvl w:val="0"/>
          <w:numId w:val="0"/>
        </w:numPr>
        <w:kinsoku/>
        <w:wordWrap/>
        <w:overflowPunct w:val="0"/>
        <w:topLinePunct w:val="0"/>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b w:val="0"/>
          <w:bCs w:val="0"/>
          <w:lang w:val="en-US" w:eastAsia="zh-CN"/>
        </w:rPr>
        <w:t>（三）各证监局、协会负责所属赛区的赛事组织动员与宣传推广工作。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
    <w:p/>
    <w:p/>
    <w:p/>
    <w:p/>
    <w:p/>
    <w:p/>
    <w:p/>
    <w:p/>
    <w:p/>
    <w:p/>
    <w:p/>
    <w:p>
      <w:pPr>
        <w:ind w:left="0" w:leftChars="0" w:firstLine="0" w:firstLineChars="0"/>
      </w:pPr>
    </w:p>
    <w:p>
      <w:pPr>
        <w:ind w:left="0" w:leftChars="0" w:firstLine="0" w:firstLineChars="0"/>
        <w:rPr>
          <w:rFonts w:hint="default" w:eastAsia="仿宋"/>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6A5BA"/>
    <w:multiLevelType w:val="singleLevel"/>
    <w:tmpl w:val="9056A5BA"/>
    <w:lvl w:ilvl="0" w:tentative="0">
      <w:start w:val="1"/>
      <w:numFmt w:val="decimal"/>
      <w:suff w:val="space"/>
      <w:lvlText w:val="%1."/>
      <w:lvlJc w:val="left"/>
    </w:lvl>
  </w:abstractNum>
  <w:abstractNum w:abstractNumId="1">
    <w:nsid w:val="A50B8B14"/>
    <w:multiLevelType w:val="singleLevel"/>
    <w:tmpl w:val="A50B8B14"/>
    <w:lvl w:ilvl="0" w:tentative="0">
      <w:start w:val="2"/>
      <w:numFmt w:val="chineseCounting"/>
      <w:suff w:val="nothing"/>
      <w:lvlText w:val="（%1）"/>
      <w:lvlJc w:val="left"/>
      <w:rPr>
        <w:rFonts w:hint="eastAsia"/>
      </w:rPr>
    </w:lvl>
  </w:abstractNum>
  <w:abstractNum w:abstractNumId="2">
    <w:nsid w:val="0CDB1541"/>
    <w:multiLevelType w:val="singleLevel"/>
    <w:tmpl w:val="0CDB1541"/>
    <w:lvl w:ilvl="0" w:tentative="0">
      <w:start w:val="3"/>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33551"/>
    <w:rsid w:val="022A54E8"/>
    <w:rsid w:val="09F70E95"/>
    <w:rsid w:val="0C366435"/>
    <w:rsid w:val="11AE694F"/>
    <w:rsid w:val="15CB499A"/>
    <w:rsid w:val="16CE59E9"/>
    <w:rsid w:val="29AF8084"/>
    <w:rsid w:val="2A803F4C"/>
    <w:rsid w:val="2B6E1F0F"/>
    <w:rsid w:val="2C482A04"/>
    <w:rsid w:val="2F8F735C"/>
    <w:rsid w:val="304E081C"/>
    <w:rsid w:val="319E3E4F"/>
    <w:rsid w:val="379EFFAB"/>
    <w:rsid w:val="38945CEA"/>
    <w:rsid w:val="3B7E0716"/>
    <w:rsid w:val="3F0F9648"/>
    <w:rsid w:val="49451FCE"/>
    <w:rsid w:val="511744D8"/>
    <w:rsid w:val="512E6C2D"/>
    <w:rsid w:val="57511ED6"/>
    <w:rsid w:val="58BE7438"/>
    <w:rsid w:val="5B78165B"/>
    <w:rsid w:val="5FF270B2"/>
    <w:rsid w:val="60D35FEF"/>
    <w:rsid w:val="71415212"/>
    <w:rsid w:val="723A5BF3"/>
    <w:rsid w:val="76EF40FF"/>
    <w:rsid w:val="7DA33551"/>
    <w:rsid w:val="B7D78A05"/>
    <w:rsid w:val="C9AF0C2F"/>
    <w:rsid w:val="D7FBFEAA"/>
    <w:rsid w:val="EF9D4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spacing w:line="600" w:lineRule="exact"/>
      <w:ind w:firstLine="640"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val="0"/>
      <w:keepLines w:val="0"/>
      <w:spacing w:beforeLines="0" w:beforeAutospacing="0" w:afterLines="0" w:afterAutospacing="0" w:line="600" w:lineRule="exact"/>
      <w:outlineLvl w:val="0"/>
    </w:pPr>
    <w:rPr>
      <w:rFonts w:eastAsia="黑体"/>
      <w:kern w:val="44"/>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2022-02-23T23:14:00Z</dcterms:created>
  <dc:creator>唐甜</dc:creator>
  <cp:lastModifiedBy>Administrator</cp:lastModifiedBy>
  <cp:lastPrinted>2022-03-16T14:44:00Z</cp:lastPrinted>
  <dcterms:modified xsi:type="dcterms:W3CDTF">2022-05-05T06:15:09Z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